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D558" w14:textId="262A0777" w:rsidR="00DC09A0" w:rsidRDefault="0086364D">
      <w:pPr>
        <w:pStyle w:val="Zkladntext"/>
        <w:jc w:val="center"/>
        <w:rPr>
          <w:rFonts w:cs="Arial"/>
          <w:sz w:val="28"/>
          <w:szCs w:val="28"/>
        </w:rPr>
      </w:pPr>
      <w:bookmarkStart w:id="0" w:name="_Toc523989802"/>
      <w:bookmarkStart w:id="1" w:name="_Toc396247858"/>
      <w:bookmarkStart w:id="2" w:name="_Toc396668975"/>
      <w:bookmarkStart w:id="3" w:name="_Toc422040346"/>
      <w:r>
        <w:rPr>
          <w:rFonts w:cs="Arial"/>
          <w:sz w:val="28"/>
          <w:szCs w:val="28"/>
        </w:rPr>
        <w:t xml:space="preserve">Akce: </w:t>
      </w:r>
      <w:bookmarkEnd w:id="0"/>
      <w:bookmarkEnd w:id="1"/>
      <w:bookmarkEnd w:id="2"/>
      <w:bookmarkEnd w:id="3"/>
      <w:r w:rsidR="00BA00D5">
        <w:t>PARKOVACÍ STÁNÍ U JUNČÁKU, PSÁRY</w:t>
      </w:r>
    </w:p>
    <w:p w14:paraId="2B8AD559" w14:textId="77777777" w:rsidR="00DC09A0" w:rsidRDefault="00DC09A0">
      <w:pPr>
        <w:jc w:val="center"/>
        <w:outlineLvl w:val="0"/>
        <w:rPr>
          <w:rFonts w:cs="Arial"/>
          <w:b/>
          <w:bCs/>
          <w:sz w:val="28"/>
          <w:szCs w:val="28"/>
        </w:rPr>
      </w:pPr>
    </w:p>
    <w:p w14:paraId="2B8AD55A" w14:textId="77777777" w:rsidR="00DC09A0" w:rsidRDefault="0086364D">
      <w:pPr>
        <w:jc w:val="center"/>
        <w:outlineLvl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 </w:t>
      </w:r>
    </w:p>
    <w:p w14:paraId="2B8AD55B" w14:textId="77777777" w:rsidR="00DC09A0" w:rsidRDefault="00DC09A0">
      <w:pPr>
        <w:jc w:val="center"/>
        <w:outlineLvl w:val="0"/>
        <w:rPr>
          <w:rFonts w:cs="Arial"/>
          <w:b/>
          <w:bCs/>
          <w:sz w:val="28"/>
          <w:szCs w:val="28"/>
        </w:rPr>
      </w:pPr>
    </w:p>
    <w:p w14:paraId="2B8AD55C" w14:textId="77777777" w:rsidR="00DC09A0" w:rsidRDefault="00DC09A0">
      <w:pPr>
        <w:outlineLvl w:val="0"/>
        <w:rPr>
          <w:rFonts w:cs="Arial"/>
          <w:b/>
          <w:bCs/>
          <w:sz w:val="28"/>
          <w:szCs w:val="28"/>
        </w:rPr>
      </w:pPr>
    </w:p>
    <w:p w14:paraId="2B8AD55D" w14:textId="77777777" w:rsidR="00DC09A0" w:rsidRDefault="00DC09A0">
      <w:pPr>
        <w:outlineLvl w:val="0"/>
        <w:rPr>
          <w:rFonts w:cs="Arial"/>
          <w:b/>
          <w:bCs/>
          <w:sz w:val="28"/>
          <w:szCs w:val="28"/>
        </w:rPr>
      </w:pPr>
    </w:p>
    <w:p w14:paraId="2B8AD55E" w14:textId="77777777" w:rsidR="00DC09A0" w:rsidRDefault="00DC09A0">
      <w:pPr>
        <w:outlineLvl w:val="0"/>
        <w:rPr>
          <w:rFonts w:cs="Arial"/>
          <w:b/>
          <w:bCs/>
          <w:sz w:val="28"/>
          <w:szCs w:val="28"/>
        </w:rPr>
      </w:pPr>
      <w:bookmarkStart w:id="4" w:name="_Toc422040347"/>
      <w:bookmarkEnd w:id="4"/>
    </w:p>
    <w:p w14:paraId="2B8AD55F" w14:textId="51BF3071" w:rsidR="00DC09A0" w:rsidRDefault="00DC09A0">
      <w:pPr>
        <w:jc w:val="center"/>
        <w:outlineLvl w:val="0"/>
        <w:rPr>
          <w:b/>
          <w:sz w:val="40"/>
        </w:rPr>
      </w:pPr>
    </w:p>
    <w:p w14:paraId="2B8AD560" w14:textId="77777777" w:rsidR="00DC09A0" w:rsidRDefault="00DC09A0">
      <w:pPr>
        <w:jc w:val="center"/>
        <w:outlineLvl w:val="0"/>
        <w:rPr>
          <w:b/>
          <w:sz w:val="40"/>
        </w:rPr>
      </w:pPr>
    </w:p>
    <w:p w14:paraId="2B8AD561" w14:textId="77777777" w:rsidR="00DC09A0" w:rsidRDefault="00DC09A0">
      <w:pPr>
        <w:jc w:val="center"/>
        <w:outlineLvl w:val="0"/>
        <w:rPr>
          <w:b/>
          <w:sz w:val="40"/>
        </w:rPr>
      </w:pPr>
    </w:p>
    <w:p w14:paraId="2B8AD562" w14:textId="77777777" w:rsidR="00DC09A0" w:rsidRDefault="00DC09A0">
      <w:pPr>
        <w:jc w:val="center"/>
        <w:outlineLvl w:val="0"/>
        <w:rPr>
          <w:b/>
          <w:sz w:val="40"/>
        </w:rPr>
      </w:pPr>
    </w:p>
    <w:p w14:paraId="2B8AD563" w14:textId="77777777" w:rsidR="00DC09A0" w:rsidRDefault="0086364D">
      <w:pPr>
        <w:jc w:val="center"/>
        <w:outlineLvl w:val="0"/>
        <w:rPr>
          <w:b/>
          <w:sz w:val="40"/>
        </w:rPr>
      </w:pPr>
      <w:bookmarkStart w:id="5" w:name="_Toc523989804"/>
      <w:r>
        <w:rPr>
          <w:b/>
          <w:sz w:val="40"/>
        </w:rPr>
        <w:t>TECHNICKÁ ZPRÁVA</w:t>
      </w:r>
      <w:bookmarkEnd w:id="5"/>
    </w:p>
    <w:p w14:paraId="2B8AD564" w14:textId="77777777" w:rsidR="00DC09A0" w:rsidRDefault="00DC09A0">
      <w:pPr>
        <w:jc w:val="center"/>
        <w:outlineLvl w:val="0"/>
        <w:rPr>
          <w:b/>
          <w:sz w:val="40"/>
        </w:rPr>
      </w:pPr>
    </w:p>
    <w:p w14:paraId="2B8AD565" w14:textId="77777777" w:rsidR="00DC09A0" w:rsidRDefault="00DC09A0">
      <w:pPr>
        <w:jc w:val="center"/>
        <w:outlineLvl w:val="0"/>
        <w:rPr>
          <w:b/>
          <w:sz w:val="40"/>
        </w:rPr>
      </w:pPr>
    </w:p>
    <w:p w14:paraId="2B8AD566" w14:textId="77777777" w:rsidR="00DC09A0" w:rsidRDefault="00DC09A0">
      <w:pPr>
        <w:jc w:val="center"/>
        <w:outlineLvl w:val="0"/>
        <w:rPr>
          <w:b/>
          <w:sz w:val="40"/>
        </w:rPr>
      </w:pPr>
    </w:p>
    <w:p w14:paraId="2B8AD567" w14:textId="77777777" w:rsidR="00DC09A0" w:rsidRDefault="00DC09A0">
      <w:pPr>
        <w:ind w:left="340" w:hanging="340"/>
        <w:jc w:val="center"/>
      </w:pPr>
    </w:p>
    <w:p w14:paraId="2B8AD568" w14:textId="77777777" w:rsidR="00DC09A0" w:rsidRDefault="00DC09A0"/>
    <w:p w14:paraId="2B8AD569" w14:textId="77777777" w:rsidR="00DC09A0" w:rsidRDefault="00DC09A0"/>
    <w:p w14:paraId="2B8AD56A" w14:textId="77777777" w:rsidR="00DC09A0" w:rsidRDefault="00DC09A0"/>
    <w:p w14:paraId="2B8AD56B" w14:textId="77777777" w:rsidR="00DC09A0" w:rsidRDefault="00DC09A0"/>
    <w:p w14:paraId="2B8AD56C" w14:textId="77777777" w:rsidR="00DC09A0" w:rsidRDefault="00DC09A0"/>
    <w:p w14:paraId="2B8AD56E" w14:textId="77777777" w:rsidR="00DC09A0" w:rsidRDefault="00DC09A0"/>
    <w:p w14:paraId="2B8AD56F" w14:textId="77777777" w:rsidR="00DC09A0" w:rsidRDefault="00DC09A0"/>
    <w:p w14:paraId="2B8AD570" w14:textId="77777777" w:rsidR="00DC09A0" w:rsidRDefault="00DC09A0"/>
    <w:p w14:paraId="2B8AD571" w14:textId="77777777" w:rsidR="00DC09A0" w:rsidRDefault="00DC09A0"/>
    <w:p w14:paraId="2B8AD572" w14:textId="77777777" w:rsidR="00DC09A0" w:rsidRDefault="00DC09A0"/>
    <w:p w14:paraId="2B8AD573" w14:textId="77777777" w:rsidR="00DC09A0" w:rsidRDefault="00DC09A0"/>
    <w:p w14:paraId="2B8AD574" w14:textId="77777777" w:rsidR="00DC09A0" w:rsidRDefault="00DC09A0"/>
    <w:p w14:paraId="2B8AD575" w14:textId="77777777" w:rsidR="00DC09A0" w:rsidRDefault="00DC09A0"/>
    <w:p w14:paraId="2B8AD576" w14:textId="77777777" w:rsidR="00DC09A0" w:rsidRDefault="00DC09A0"/>
    <w:p w14:paraId="2B8AD577" w14:textId="77777777" w:rsidR="00DC09A0" w:rsidRDefault="00DC09A0"/>
    <w:p w14:paraId="0FA9561C" w14:textId="77777777" w:rsidR="00BA00D5" w:rsidRDefault="00BA00D5"/>
    <w:p w14:paraId="6F9947DE" w14:textId="77777777" w:rsidR="00BA00D5" w:rsidRDefault="00BA00D5"/>
    <w:p w14:paraId="17EC9192" w14:textId="77777777" w:rsidR="00BA00D5" w:rsidRDefault="00BA00D5"/>
    <w:p w14:paraId="3805D008" w14:textId="77777777" w:rsidR="00BA00D5" w:rsidRDefault="00BA00D5"/>
    <w:p w14:paraId="795A9D84" w14:textId="77777777" w:rsidR="00BA00D5" w:rsidRDefault="00BA00D5"/>
    <w:p w14:paraId="2B8AD578" w14:textId="77777777" w:rsidR="00DC09A0" w:rsidRDefault="00DC09A0"/>
    <w:p w14:paraId="2B8AD579" w14:textId="77777777" w:rsidR="00DC09A0" w:rsidRDefault="00DC09A0"/>
    <w:p w14:paraId="2B8AD57A" w14:textId="77777777" w:rsidR="00DC09A0" w:rsidRDefault="00DC09A0"/>
    <w:p w14:paraId="2B8AD57B" w14:textId="77777777" w:rsidR="00DC09A0" w:rsidRDefault="00DC09A0"/>
    <w:p w14:paraId="2B8AD57C" w14:textId="77777777" w:rsidR="00DC09A0" w:rsidRDefault="00DC09A0"/>
    <w:p w14:paraId="2B8AD57D" w14:textId="77777777" w:rsidR="00DC09A0" w:rsidRDefault="00DC09A0"/>
    <w:p w14:paraId="2B8AD57E" w14:textId="77777777" w:rsidR="00DC09A0" w:rsidRDefault="00DC09A0"/>
    <w:p w14:paraId="2B8AD57F" w14:textId="77777777" w:rsidR="00DC09A0" w:rsidRDefault="00DC09A0"/>
    <w:p w14:paraId="2B8AD580" w14:textId="77777777" w:rsidR="00DC09A0" w:rsidRDefault="00DC09A0"/>
    <w:p w14:paraId="2B8AD585" w14:textId="77777777" w:rsidR="00DC09A0" w:rsidRPr="00B2679D" w:rsidRDefault="0086364D">
      <w:pPr>
        <w:pStyle w:val="Nadpis1"/>
        <w:numPr>
          <w:ilvl w:val="0"/>
          <w:numId w:val="3"/>
        </w:numPr>
      </w:pPr>
      <w:bookmarkStart w:id="6" w:name="_Toc482517779"/>
      <w:bookmarkStart w:id="7" w:name="_Toc446055916"/>
      <w:bookmarkStart w:id="8" w:name="_Toc409009321"/>
      <w:bookmarkStart w:id="9" w:name="_Toc399273287"/>
      <w:bookmarkStart w:id="10" w:name="_Toc396669000"/>
      <w:bookmarkStart w:id="11" w:name="_Toc523989809"/>
      <w:bookmarkStart w:id="12" w:name="_Toc380392817"/>
      <w:bookmarkEnd w:id="6"/>
      <w:bookmarkEnd w:id="7"/>
      <w:bookmarkEnd w:id="8"/>
      <w:bookmarkEnd w:id="9"/>
      <w:bookmarkEnd w:id="10"/>
      <w:r w:rsidRPr="00B2679D">
        <w:lastRenderedPageBreak/>
        <w:t>Všeobecné údaje</w:t>
      </w:r>
      <w:bookmarkEnd w:id="11"/>
      <w:bookmarkEnd w:id="12"/>
    </w:p>
    <w:p w14:paraId="2B8AD586" w14:textId="77777777" w:rsidR="00DC09A0" w:rsidRPr="001511FA" w:rsidRDefault="00DC09A0">
      <w:pPr>
        <w:ind w:firstLine="0"/>
        <w:jc w:val="both"/>
        <w:rPr>
          <w:rFonts w:ascii="Calibri" w:hAnsi="Calibri" w:cs="Calibri"/>
          <w:sz w:val="20"/>
          <w:highlight w:val="yellow"/>
        </w:rPr>
      </w:pPr>
    </w:p>
    <w:p w14:paraId="2B8AD58B" w14:textId="0C99C934" w:rsidR="00DC09A0" w:rsidRDefault="00260E99">
      <w:pPr>
        <w:pStyle w:val="HEL11"/>
        <w:rPr>
          <w:rFonts w:cs="Calibri"/>
          <w:b w:val="0"/>
          <w:sz w:val="20"/>
        </w:rPr>
      </w:pPr>
      <w:r>
        <w:rPr>
          <w:rFonts w:cs="Calibri"/>
          <w:b w:val="0"/>
          <w:sz w:val="20"/>
        </w:rPr>
        <w:t xml:space="preserve">Předmětem tohoto projektu je </w:t>
      </w:r>
      <w:r w:rsidR="00AB628C">
        <w:rPr>
          <w:rFonts w:cs="Calibri"/>
          <w:b w:val="0"/>
          <w:sz w:val="20"/>
        </w:rPr>
        <w:t xml:space="preserve">vybudování nových parkovacích </w:t>
      </w:r>
      <w:r w:rsidR="00F518AF">
        <w:rPr>
          <w:rFonts w:cs="Calibri"/>
          <w:b w:val="0"/>
          <w:sz w:val="20"/>
        </w:rPr>
        <w:t xml:space="preserve">stání u stávající komunikace U </w:t>
      </w:r>
      <w:proofErr w:type="spellStart"/>
      <w:r w:rsidR="00F518AF">
        <w:rPr>
          <w:rFonts w:cs="Calibri"/>
          <w:b w:val="0"/>
          <w:sz w:val="20"/>
        </w:rPr>
        <w:t>Junčáku</w:t>
      </w:r>
      <w:proofErr w:type="spellEnd"/>
      <w:r w:rsidR="00F518AF">
        <w:rPr>
          <w:rFonts w:cs="Calibri"/>
          <w:b w:val="0"/>
          <w:sz w:val="20"/>
        </w:rPr>
        <w:t>, Psáry.</w:t>
      </w:r>
    </w:p>
    <w:p w14:paraId="61813D86" w14:textId="4BBEC0B7" w:rsidR="00F518AF" w:rsidRDefault="00F86873">
      <w:pPr>
        <w:pStyle w:val="HEL11"/>
        <w:rPr>
          <w:rFonts w:cs="Calibri"/>
          <w:b w:val="0"/>
          <w:sz w:val="20"/>
        </w:rPr>
      </w:pPr>
      <w:r>
        <w:rPr>
          <w:rFonts w:cs="Calibri"/>
          <w:b w:val="0"/>
          <w:sz w:val="20"/>
        </w:rPr>
        <w:t>Jedná se o dvě místa, jedno bude s kapacitou 4 parkovací stání a druhé 6 parkovacích stání.</w:t>
      </w:r>
    </w:p>
    <w:p w14:paraId="00724027" w14:textId="73709B4E" w:rsidR="00F86873" w:rsidRDefault="00F86873">
      <w:pPr>
        <w:pStyle w:val="HEL11"/>
        <w:rPr>
          <w:rFonts w:cs="Calibri"/>
          <w:b w:val="0"/>
          <w:sz w:val="20"/>
        </w:rPr>
      </w:pPr>
      <w:r>
        <w:rPr>
          <w:rFonts w:cs="Calibri"/>
          <w:b w:val="0"/>
          <w:sz w:val="20"/>
        </w:rPr>
        <w:t>Parkovací stání budou navazovat na stávající komunikaci.</w:t>
      </w:r>
    </w:p>
    <w:p w14:paraId="2B8AD58C" w14:textId="77777777" w:rsidR="00DC09A0" w:rsidRPr="00AF6A97" w:rsidRDefault="00DC09A0">
      <w:pPr>
        <w:pStyle w:val="HEL11"/>
        <w:rPr>
          <w:rFonts w:cs="Calibri"/>
          <w:b w:val="0"/>
          <w:sz w:val="20"/>
        </w:rPr>
      </w:pPr>
    </w:p>
    <w:p w14:paraId="2B8AD590" w14:textId="77777777" w:rsidR="00DC09A0" w:rsidRPr="00AF6A97" w:rsidRDefault="0086364D">
      <w:pPr>
        <w:pStyle w:val="Nadpis1"/>
        <w:numPr>
          <w:ilvl w:val="0"/>
          <w:numId w:val="3"/>
        </w:numPr>
      </w:pPr>
      <w:bookmarkStart w:id="13" w:name="_Toc523989811"/>
      <w:bookmarkStart w:id="14" w:name="_Toc313890433"/>
      <w:bookmarkStart w:id="15" w:name="_Toc380392819"/>
      <w:r w:rsidRPr="00AF6A97">
        <w:t>Podklady</w:t>
      </w:r>
      <w:bookmarkEnd w:id="13"/>
      <w:bookmarkEnd w:id="14"/>
      <w:bookmarkEnd w:id="15"/>
    </w:p>
    <w:p w14:paraId="2B8AD591" w14:textId="77777777" w:rsidR="00DC09A0" w:rsidRPr="00AF6A97" w:rsidRDefault="00DC09A0"/>
    <w:p w14:paraId="2B8AD592" w14:textId="77777777" w:rsidR="00DC09A0" w:rsidRPr="00AF6A97" w:rsidRDefault="0086364D">
      <w:pPr>
        <w:pStyle w:val="HEL11"/>
        <w:rPr>
          <w:rFonts w:cs="Calibri"/>
          <w:b w:val="0"/>
          <w:sz w:val="20"/>
        </w:rPr>
      </w:pPr>
      <w:r w:rsidRPr="00AF6A97">
        <w:rPr>
          <w:rFonts w:cs="Calibri"/>
          <w:b w:val="0"/>
          <w:sz w:val="20"/>
        </w:rPr>
        <w:t xml:space="preserve">    • zadání stavebníka</w:t>
      </w:r>
    </w:p>
    <w:p w14:paraId="2B8AD593" w14:textId="77777777" w:rsidR="00DC09A0" w:rsidRPr="00AF6A97" w:rsidRDefault="0086364D">
      <w:pPr>
        <w:pStyle w:val="HEL11"/>
        <w:rPr>
          <w:rFonts w:cs="Calibri"/>
          <w:b w:val="0"/>
          <w:sz w:val="20"/>
        </w:rPr>
      </w:pPr>
      <w:r w:rsidRPr="00AF6A97">
        <w:rPr>
          <w:rFonts w:cs="Calibri"/>
          <w:b w:val="0"/>
          <w:sz w:val="20"/>
        </w:rPr>
        <w:t xml:space="preserve">    • geodetické zaměření pozemku</w:t>
      </w:r>
    </w:p>
    <w:p w14:paraId="2B8AD594" w14:textId="77777777" w:rsidR="00DC09A0" w:rsidRPr="00AF6A97" w:rsidRDefault="0086364D">
      <w:pPr>
        <w:pStyle w:val="HEL11"/>
        <w:rPr>
          <w:rFonts w:cs="Calibri"/>
          <w:b w:val="0"/>
          <w:sz w:val="20"/>
        </w:rPr>
      </w:pPr>
      <w:r w:rsidRPr="00AF6A97">
        <w:rPr>
          <w:rFonts w:cs="Calibri"/>
          <w:b w:val="0"/>
          <w:sz w:val="20"/>
        </w:rPr>
        <w:t xml:space="preserve">    • snímek z katastrální mapy a výpis z KN</w:t>
      </w:r>
    </w:p>
    <w:p w14:paraId="2B8AD597" w14:textId="77777777" w:rsidR="00DC09A0" w:rsidRPr="00AF6A97" w:rsidRDefault="00DC09A0">
      <w:pPr>
        <w:pStyle w:val="HEL11"/>
        <w:rPr>
          <w:rFonts w:cs="Calibri"/>
          <w:b w:val="0"/>
          <w:sz w:val="20"/>
        </w:rPr>
      </w:pPr>
    </w:p>
    <w:p w14:paraId="2B8AD598" w14:textId="77777777" w:rsidR="00DC09A0" w:rsidRPr="00791B58" w:rsidRDefault="0086364D">
      <w:pPr>
        <w:pStyle w:val="Nadpis1"/>
        <w:numPr>
          <w:ilvl w:val="0"/>
          <w:numId w:val="3"/>
        </w:numPr>
      </w:pPr>
      <w:bookmarkStart w:id="16" w:name="_Toc523989812"/>
      <w:bookmarkStart w:id="17" w:name="_Toc313890435"/>
      <w:bookmarkStart w:id="18" w:name="_Toc380392820"/>
      <w:r w:rsidRPr="00791B58">
        <w:t>Demolice</w:t>
      </w:r>
      <w:bookmarkEnd w:id="16"/>
      <w:bookmarkEnd w:id="17"/>
      <w:bookmarkEnd w:id="18"/>
    </w:p>
    <w:p w14:paraId="2B8AD599" w14:textId="77777777" w:rsidR="00DC09A0" w:rsidRPr="00791B58" w:rsidRDefault="00DC09A0">
      <w:pPr>
        <w:ind w:firstLine="0"/>
        <w:jc w:val="both"/>
        <w:rPr>
          <w:rFonts w:ascii="Calibri" w:hAnsi="Calibri" w:cs="Calibri"/>
          <w:sz w:val="20"/>
        </w:rPr>
      </w:pPr>
    </w:p>
    <w:p w14:paraId="2B8AD59A" w14:textId="7A3A7183" w:rsidR="00DC09A0" w:rsidRPr="00791B58" w:rsidRDefault="0086364D">
      <w:pPr>
        <w:ind w:firstLine="0"/>
        <w:jc w:val="both"/>
        <w:rPr>
          <w:rFonts w:ascii="Calibri" w:hAnsi="Calibri" w:cs="Calibri"/>
          <w:sz w:val="20"/>
        </w:rPr>
      </w:pPr>
      <w:r w:rsidRPr="00791B58">
        <w:rPr>
          <w:rFonts w:ascii="Calibri" w:hAnsi="Calibri" w:cs="Calibri"/>
          <w:sz w:val="20"/>
        </w:rPr>
        <w:t xml:space="preserve">V rámci daného stavebního objektu </w:t>
      </w:r>
      <w:r w:rsidR="006C5B23">
        <w:rPr>
          <w:rFonts w:ascii="Calibri" w:hAnsi="Calibri" w:cs="Calibri"/>
          <w:sz w:val="20"/>
        </w:rPr>
        <w:t>není řešena demolice.</w:t>
      </w:r>
    </w:p>
    <w:p w14:paraId="2B8AD59B" w14:textId="41268B3B" w:rsidR="00DC09A0" w:rsidRPr="00791B58" w:rsidRDefault="00DC09A0">
      <w:pPr>
        <w:ind w:firstLine="0"/>
        <w:jc w:val="both"/>
        <w:rPr>
          <w:rFonts w:ascii="Calibri" w:hAnsi="Calibri" w:cs="Calibri"/>
          <w:sz w:val="20"/>
        </w:rPr>
      </w:pPr>
    </w:p>
    <w:p w14:paraId="295340EE" w14:textId="575A8C1A" w:rsidR="001E4718" w:rsidRPr="00EA4343" w:rsidRDefault="001E4718" w:rsidP="001E4718">
      <w:pPr>
        <w:pStyle w:val="Nadpis1"/>
        <w:numPr>
          <w:ilvl w:val="0"/>
          <w:numId w:val="3"/>
        </w:numPr>
      </w:pPr>
      <w:r w:rsidRPr="00EA4343">
        <w:t>Kácení</w:t>
      </w:r>
    </w:p>
    <w:p w14:paraId="79EEC0ED" w14:textId="77777777" w:rsidR="001E4718" w:rsidRPr="00EA4343" w:rsidRDefault="001E4718" w:rsidP="001E4718">
      <w:pPr>
        <w:ind w:firstLine="0"/>
        <w:jc w:val="both"/>
        <w:rPr>
          <w:rFonts w:ascii="Calibri" w:hAnsi="Calibri" w:cs="Calibri"/>
          <w:sz w:val="20"/>
        </w:rPr>
      </w:pPr>
    </w:p>
    <w:p w14:paraId="7EB8269A" w14:textId="130A6E08" w:rsidR="001E4718" w:rsidRPr="00EA4343" w:rsidRDefault="00791B58">
      <w:pPr>
        <w:ind w:firstLine="0"/>
        <w:jc w:val="both"/>
        <w:rPr>
          <w:rFonts w:ascii="Calibri" w:hAnsi="Calibri" w:cs="Calibri"/>
          <w:sz w:val="20"/>
        </w:rPr>
      </w:pPr>
      <w:r w:rsidRPr="00EA4343">
        <w:rPr>
          <w:rFonts w:ascii="Calibri" w:hAnsi="Calibri" w:cs="Calibri"/>
          <w:sz w:val="20"/>
        </w:rPr>
        <w:t>V rámci projektu</w:t>
      </w:r>
      <w:r w:rsidR="006C5B23">
        <w:rPr>
          <w:rFonts w:ascii="Calibri" w:hAnsi="Calibri" w:cs="Calibri"/>
          <w:sz w:val="20"/>
        </w:rPr>
        <w:t xml:space="preserve"> není</w:t>
      </w:r>
      <w:r w:rsidRPr="00EA4343">
        <w:rPr>
          <w:rFonts w:ascii="Calibri" w:hAnsi="Calibri" w:cs="Calibri"/>
          <w:sz w:val="20"/>
        </w:rPr>
        <w:t xml:space="preserve"> uvažováno s kácením stávající zeleně.</w:t>
      </w:r>
      <w:r w:rsidR="00F86873">
        <w:rPr>
          <w:rFonts w:ascii="Calibri" w:hAnsi="Calibri" w:cs="Calibri"/>
          <w:sz w:val="20"/>
        </w:rPr>
        <w:t xml:space="preserve"> Dojde k</w:t>
      </w:r>
      <w:r w:rsidR="00814C77">
        <w:rPr>
          <w:rFonts w:ascii="Calibri" w:hAnsi="Calibri" w:cs="Calibri"/>
          <w:sz w:val="20"/>
        </w:rPr>
        <w:t xml:space="preserve">e zastřižení části stávajících křovin, které budou v kolizi s nově uvažovanými parkovacími stáními a také </w:t>
      </w:r>
      <w:r w:rsidR="00911275">
        <w:rPr>
          <w:rFonts w:ascii="Calibri" w:hAnsi="Calibri" w:cs="Calibri"/>
          <w:sz w:val="20"/>
        </w:rPr>
        <w:t>pro místa otvírání dveří.</w:t>
      </w:r>
    </w:p>
    <w:p w14:paraId="13DEF2BC" w14:textId="77777777" w:rsidR="001E4718" w:rsidRPr="00EA4343" w:rsidRDefault="001E4718">
      <w:pPr>
        <w:ind w:firstLine="0"/>
        <w:jc w:val="both"/>
        <w:rPr>
          <w:rFonts w:ascii="Calibri" w:hAnsi="Calibri" w:cs="Calibri"/>
          <w:sz w:val="20"/>
        </w:rPr>
      </w:pPr>
    </w:p>
    <w:p w14:paraId="2B8AD59C" w14:textId="77777777" w:rsidR="00DC09A0" w:rsidRPr="00EA4343" w:rsidRDefault="0086364D">
      <w:pPr>
        <w:pStyle w:val="Nadpis1"/>
        <w:numPr>
          <w:ilvl w:val="0"/>
          <w:numId w:val="3"/>
        </w:numPr>
      </w:pPr>
      <w:bookmarkStart w:id="19" w:name="_Toc523989813"/>
      <w:bookmarkStart w:id="20" w:name="_Toc313890436"/>
      <w:bookmarkStart w:id="21" w:name="_Toc380392821"/>
      <w:r w:rsidRPr="00EA4343">
        <w:t>Dopravní a stavební řešení</w:t>
      </w:r>
      <w:bookmarkEnd w:id="19"/>
      <w:bookmarkEnd w:id="20"/>
      <w:bookmarkEnd w:id="21"/>
      <w:r w:rsidRPr="00EA4343">
        <w:t xml:space="preserve"> </w:t>
      </w:r>
    </w:p>
    <w:p w14:paraId="2B8AD59D" w14:textId="77777777" w:rsidR="00DC09A0" w:rsidRPr="00EA4343" w:rsidRDefault="00DC09A0"/>
    <w:p w14:paraId="798F18B9" w14:textId="67856F11" w:rsidR="001511FA" w:rsidRDefault="00911275" w:rsidP="001511FA">
      <w:pPr>
        <w:pStyle w:val="HEL12"/>
        <w:outlineLvl w:val="1"/>
        <w:rPr>
          <w:b w:val="0"/>
        </w:rPr>
      </w:pPr>
      <w:r>
        <w:rPr>
          <w:b w:val="0"/>
        </w:rPr>
        <w:t xml:space="preserve">Parkovací stání budou </w:t>
      </w:r>
      <w:proofErr w:type="gramStart"/>
      <w:r w:rsidR="00290E6C">
        <w:rPr>
          <w:b w:val="0"/>
        </w:rPr>
        <w:t>provedeny</w:t>
      </w:r>
      <w:proofErr w:type="gramEnd"/>
      <w:r w:rsidR="00290E6C">
        <w:rPr>
          <w:b w:val="0"/>
        </w:rPr>
        <w:t xml:space="preserve"> dle dané výkresové dokumentace. Ke stávající komunikaci budou přisazena nová parkovací stání, která budou provedena z plastové drenážní dlažby. Konstrukce plochy bude provedena dle příčného řezu.</w:t>
      </w:r>
    </w:p>
    <w:p w14:paraId="592C6A53" w14:textId="0DFCB72A" w:rsidR="00290E6C" w:rsidRDefault="00290E6C" w:rsidP="001511FA">
      <w:pPr>
        <w:pStyle w:val="HEL12"/>
        <w:outlineLvl w:val="1"/>
        <w:rPr>
          <w:b w:val="0"/>
        </w:rPr>
      </w:pPr>
      <w:r>
        <w:rPr>
          <w:b w:val="0"/>
        </w:rPr>
        <w:t xml:space="preserve">V místě parkovacího místa č. 1 dojde k zaříznutí stávající asfaltové vozovky do rovného řezu, k němu bude pak přisazena obruba 10/25 do </w:t>
      </w:r>
      <w:proofErr w:type="spellStart"/>
      <w:proofErr w:type="gramStart"/>
      <w:r>
        <w:rPr>
          <w:b w:val="0"/>
        </w:rPr>
        <w:t>bet.lože</w:t>
      </w:r>
      <w:proofErr w:type="spellEnd"/>
      <w:proofErr w:type="gramEnd"/>
      <w:r>
        <w:rPr>
          <w:b w:val="0"/>
        </w:rPr>
        <w:t xml:space="preserve"> c20/25 s nulovým nášlapem a jednostranným betonovým ložem. Na tuto obrubu bude navazovat drenážní dlažba ve sklonu </w:t>
      </w:r>
      <w:proofErr w:type="gramStart"/>
      <w:r>
        <w:rPr>
          <w:b w:val="0"/>
        </w:rPr>
        <w:t>2%</w:t>
      </w:r>
      <w:proofErr w:type="gramEnd"/>
      <w:r>
        <w:rPr>
          <w:b w:val="0"/>
        </w:rPr>
        <w:t xml:space="preserve"> směrem do zeleně. Parkovací stání budou ukončena obrubou 10/25 do </w:t>
      </w:r>
      <w:proofErr w:type="spellStart"/>
      <w:proofErr w:type="gramStart"/>
      <w:r>
        <w:rPr>
          <w:b w:val="0"/>
        </w:rPr>
        <w:t>bet.lože</w:t>
      </w:r>
      <w:proofErr w:type="spellEnd"/>
      <w:proofErr w:type="gramEnd"/>
      <w:r>
        <w:rPr>
          <w:b w:val="0"/>
        </w:rPr>
        <w:t xml:space="preserve"> c20/25. </w:t>
      </w:r>
      <w:r w:rsidR="006872B3">
        <w:rPr>
          <w:b w:val="0"/>
        </w:rPr>
        <w:t>V navázání na stávající stav dojde k dosypu zeminy a ohumusování svahu.</w:t>
      </w:r>
      <w:r w:rsidR="00F80C20">
        <w:rPr>
          <w:b w:val="0"/>
        </w:rPr>
        <w:t xml:space="preserve"> Pracovní spára u stávající vozovky bude opatřena asfaltovou zálivkou.</w:t>
      </w:r>
    </w:p>
    <w:p w14:paraId="2A438997" w14:textId="17EAD755" w:rsidR="00F80C20" w:rsidRDefault="00F80C20" w:rsidP="001511FA">
      <w:pPr>
        <w:pStyle w:val="HEL12"/>
        <w:outlineLvl w:val="1"/>
        <w:rPr>
          <w:b w:val="0"/>
        </w:rPr>
      </w:pPr>
      <w:r>
        <w:rPr>
          <w:b w:val="0"/>
        </w:rPr>
        <w:t>V místě parkovacího místa č. 2 je již obruba u vozovky osazena.</w:t>
      </w:r>
    </w:p>
    <w:p w14:paraId="17CDE47C" w14:textId="4F2EB6C4" w:rsidR="00BE2758" w:rsidRPr="00B2679D" w:rsidRDefault="00F80C20" w:rsidP="001511FA">
      <w:pPr>
        <w:pStyle w:val="HEL12"/>
        <w:outlineLvl w:val="1"/>
        <w:rPr>
          <w:b w:val="0"/>
        </w:rPr>
      </w:pPr>
      <w:r>
        <w:rPr>
          <w:b w:val="0"/>
        </w:rPr>
        <w:t xml:space="preserve">Jednotlivá parkovací stání budou oddělena </w:t>
      </w:r>
      <w:r w:rsidR="00E07BAB">
        <w:rPr>
          <w:b w:val="0"/>
        </w:rPr>
        <w:t xml:space="preserve">drenážní dlažbou s vloženou červenou betonovou obrubou – nutno řešit </w:t>
      </w:r>
      <w:r w:rsidR="00BE2758">
        <w:rPr>
          <w:b w:val="0"/>
        </w:rPr>
        <w:t>danou speciální drenážní dlažbou.</w:t>
      </w:r>
    </w:p>
    <w:p w14:paraId="64027911" w14:textId="4DEB626F" w:rsidR="00D51A50" w:rsidRPr="00B2679D" w:rsidRDefault="00D51A50" w:rsidP="001511FA">
      <w:pPr>
        <w:pStyle w:val="HEL12"/>
        <w:outlineLvl w:val="1"/>
        <w:rPr>
          <w:b w:val="0"/>
        </w:rPr>
      </w:pPr>
    </w:p>
    <w:p w14:paraId="2B8AD5AB" w14:textId="77777777" w:rsidR="00DC09A0" w:rsidRPr="00CA2B21" w:rsidRDefault="0086364D">
      <w:pPr>
        <w:pStyle w:val="Nadpis1"/>
        <w:numPr>
          <w:ilvl w:val="0"/>
          <w:numId w:val="3"/>
        </w:numPr>
      </w:pPr>
      <w:bookmarkStart w:id="22" w:name="_Toc523989822"/>
      <w:bookmarkStart w:id="23" w:name="_Toc313890440"/>
      <w:bookmarkStart w:id="24" w:name="_Toc380392831"/>
      <w:r w:rsidRPr="00CA2B21">
        <w:t>Zemní práce</w:t>
      </w:r>
      <w:bookmarkEnd w:id="22"/>
      <w:bookmarkEnd w:id="23"/>
      <w:bookmarkEnd w:id="24"/>
    </w:p>
    <w:p w14:paraId="2B8AD5AC" w14:textId="77777777" w:rsidR="00DC09A0" w:rsidRPr="00CA2B21" w:rsidRDefault="00DC09A0">
      <w:pPr>
        <w:widowControl w:val="0"/>
        <w:ind w:left="708"/>
        <w:jc w:val="both"/>
        <w:rPr>
          <w:b/>
        </w:rPr>
      </w:pPr>
    </w:p>
    <w:p w14:paraId="2B8AD5AD" w14:textId="77777777" w:rsidR="00DC09A0" w:rsidRPr="00CA2B21" w:rsidRDefault="0086364D">
      <w:pPr>
        <w:ind w:firstLine="0"/>
        <w:jc w:val="both"/>
        <w:rPr>
          <w:rFonts w:ascii="Calibri" w:hAnsi="Calibri" w:cs="Calibri"/>
          <w:b/>
          <w:sz w:val="20"/>
        </w:rPr>
      </w:pPr>
      <w:r w:rsidRPr="00CA2B21">
        <w:rPr>
          <w:rFonts w:ascii="Calibri" w:hAnsi="Calibri" w:cs="Calibri"/>
          <w:sz w:val="20"/>
        </w:rPr>
        <w:t xml:space="preserve">Dle ČSN 72 1006 (Kontrola zhutnění zemin a sypanin) pro zeminy v aktivní zóně platí minimální ověřená míra zhutnění </w:t>
      </w:r>
      <w:proofErr w:type="gramStart"/>
      <w:r w:rsidRPr="00CA2B21">
        <w:rPr>
          <w:rFonts w:ascii="Calibri" w:hAnsi="Calibri" w:cs="Calibri"/>
          <w:b/>
          <w:sz w:val="20"/>
        </w:rPr>
        <w:t>102%</w:t>
      </w:r>
      <w:proofErr w:type="gramEnd"/>
      <w:r w:rsidRPr="00CA2B21">
        <w:rPr>
          <w:rFonts w:ascii="Calibri" w:hAnsi="Calibri" w:cs="Calibri"/>
          <w:b/>
          <w:sz w:val="20"/>
        </w:rPr>
        <w:t xml:space="preserve"> PS</w:t>
      </w:r>
      <w:r w:rsidRPr="00CA2B21">
        <w:rPr>
          <w:rFonts w:ascii="Calibri" w:hAnsi="Calibri" w:cs="Calibri"/>
          <w:sz w:val="20"/>
        </w:rPr>
        <w:t xml:space="preserve"> u zeminy F5 a F6 a </w:t>
      </w:r>
      <w:r w:rsidRPr="00CA2B21">
        <w:rPr>
          <w:rFonts w:ascii="Calibri" w:hAnsi="Calibri" w:cs="Calibri"/>
          <w:b/>
          <w:sz w:val="20"/>
        </w:rPr>
        <w:t>100% PS</w:t>
      </w:r>
      <w:r w:rsidRPr="00CA2B21">
        <w:rPr>
          <w:rFonts w:ascii="Calibri" w:hAnsi="Calibri" w:cs="Calibri"/>
          <w:sz w:val="20"/>
        </w:rPr>
        <w:t xml:space="preserve"> pro ostatní zeminy, resp. </w:t>
      </w:r>
      <w:r w:rsidRPr="00CA2B21">
        <w:rPr>
          <w:rFonts w:ascii="Calibri" w:hAnsi="Calibri" w:cs="Calibri"/>
          <w:b/>
          <w:sz w:val="20"/>
        </w:rPr>
        <w:t>I</w:t>
      </w:r>
      <w:r w:rsidRPr="00CA2B21">
        <w:rPr>
          <w:rFonts w:ascii="Calibri" w:hAnsi="Calibri" w:cs="Calibri"/>
          <w:b/>
          <w:sz w:val="20"/>
          <w:vertAlign w:val="subscript"/>
        </w:rPr>
        <w:t>d</w:t>
      </w:r>
      <w:r w:rsidRPr="00CA2B21">
        <w:rPr>
          <w:rFonts w:ascii="Calibri" w:hAnsi="Calibri" w:cs="Calibri"/>
          <w:b/>
          <w:sz w:val="20"/>
        </w:rPr>
        <w:t xml:space="preserve"> = 0,9</w:t>
      </w:r>
      <w:r w:rsidRPr="00CA2B21">
        <w:rPr>
          <w:rFonts w:ascii="Calibri" w:hAnsi="Calibri" w:cs="Calibri"/>
          <w:sz w:val="20"/>
        </w:rPr>
        <w:t xml:space="preserve"> (nesoudržné zeminy), </w:t>
      </w:r>
      <w:r w:rsidRPr="00CA2B21">
        <w:rPr>
          <w:rFonts w:ascii="Calibri" w:hAnsi="Calibri" w:cs="Calibri"/>
          <w:b/>
          <w:sz w:val="20"/>
        </w:rPr>
        <w:t>95% PS</w:t>
      </w:r>
      <w:r w:rsidRPr="00CA2B21">
        <w:rPr>
          <w:rFonts w:ascii="Calibri" w:hAnsi="Calibri" w:cs="Calibri"/>
          <w:sz w:val="20"/>
        </w:rPr>
        <w:t xml:space="preserve"> (v tělese násypu) resp. </w:t>
      </w:r>
      <w:r w:rsidRPr="00CA2B21">
        <w:rPr>
          <w:rFonts w:ascii="Calibri" w:hAnsi="Calibri" w:cs="Calibri"/>
          <w:b/>
          <w:sz w:val="20"/>
        </w:rPr>
        <w:t>92 % PS</w:t>
      </w:r>
      <w:r w:rsidRPr="00CA2B21">
        <w:rPr>
          <w:rFonts w:ascii="Calibri" w:hAnsi="Calibri" w:cs="Calibri"/>
          <w:sz w:val="20"/>
        </w:rPr>
        <w:t xml:space="preserve"> (v podloží násypu do hloubky 0,50 m). Na zemní pláni vozovky musí být dosaženo předepsaného modulu přetvárnosti </w:t>
      </w:r>
      <w:r w:rsidRPr="00CA2B21">
        <w:rPr>
          <w:rFonts w:ascii="Calibri" w:hAnsi="Calibri" w:cs="Calibri"/>
          <w:b/>
          <w:sz w:val="20"/>
        </w:rPr>
        <w:t>E</w:t>
      </w:r>
      <w:r w:rsidRPr="00CA2B21">
        <w:rPr>
          <w:rFonts w:ascii="Calibri" w:hAnsi="Calibri" w:cs="Calibri"/>
          <w:b/>
          <w:sz w:val="20"/>
          <w:vertAlign w:val="subscript"/>
        </w:rPr>
        <w:t xml:space="preserve">def,2 </w:t>
      </w:r>
      <w:r w:rsidRPr="00CA2B21">
        <w:rPr>
          <w:rFonts w:ascii="Calibri" w:hAnsi="Calibri" w:cs="Calibri"/>
          <w:b/>
          <w:sz w:val="20"/>
        </w:rPr>
        <w:t xml:space="preserve">= 45 </w:t>
      </w:r>
      <w:proofErr w:type="spellStart"/>
      <w:r w:rsidRPr="00CA2B21">
        <w:rPr>
          <w:rFonts w:ascii="Calibri" w:hAnsi="Calibri" w:cs="Calibri"/>
          <w:b/>
          <w:sz w:val="20"/>
        </w:rPr>
        <w:t>MPa</w:t>
      </w:r>
      <w:proofErr w:type="spellEnd"/>
      <w:r w:rsidRPr="00CA2B21">
        <w:rPr>
          <w:rFonts w:ascii="Calibri" w:hAnsi="Calibri" w:cs="Calibri"/>
          <w:sz w:val="20"/>
        </w:rPr>
        <w:t xml:space="preserve">. </w:t>
      </w:r>
    </w:p>
    <w:p w14:paraId="2B8AD5AE" w14:textId="77777777" w:rsidR="00DC09A0" w:rsidRPr="00CA2B21" w:rsidRDefault="00DC09A0">
      <w:pPr>
        <w:widowControl w:val="0"/>
        <w:ind w:firstLine="0"/>
        <w:jc w:val="both"/>
        <w:rPr>
          <w:rFonts w:ascii="Calibri" w:hAnsi="Calibri" w:cs="Calibri"/>
          <w:sz w:val="20"/>
        </w:rPr>
      </w:pPr>
    </w:p>
    <w:p w14:paraId="2B8AD5AF" w14:textId="77777777" w:rsidR="00DC09A0" w:rsidRPr="00CA2B21" w:rsidRDefault="0086364D">
      <w:pPr>
        <w:pStyle w:val="Zkladntextodsazen"/>
        <w:widowControl w:val="0"/>
        <w:ind w:left="0" w:firstLine="0"/>
        <w:jc w:val="both"/>
        <w:rPr>
          <w:rFonts w:ascii="Calibri" w:hAnsi="Calibri" w:cs="Calibri"/>
          <w:sz w:val="20"/>
          <w:u w:val="single"/>
        </w:rPr>
      </w:pPr>
      <w:r w:rsidRPr="00CA2B21">
        <w:rPr>
          <w:rFonts w:ascii="Calibri" w:hAnsi="Calibri" w:cs="Calibri"/>
          <w:sz w:val="20"/>
          <w:u w:val="single"/>
        </w:rPr>
        <w:t>V rámci sledování kvality zemních prací budou v souladu s výše citovanými předpisy prováděny následující typy zkoušek:</w:t>
      </w:r>
    </w:p>
    <w:p w14:paraId="2B8AD5B0" w14:textId="77777777" w:rsidR="00DC09A0" w:rsidRPr="00CA2B21" w:rsidRDefault="0086364D">
      <w:pPr>
        <w:widowControl w:val="0"/>
        <w:numPr>
          <w:ilvl w:val="0"/>
          <w:numId w:val="4"/>
        </w:numPr>
        <w:ind w:left="0"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průkazní (ověření vlastností používaných materiálů, je možné nahradit prohlášením o shodě)</w:t>
      </w:r>
    </w:p>
    <w:p w14:paraId="2B8AD5B1" w14:textId="77777777" w:rsidR="00DC09A0" w:rsidRPr="00CA2B21" w:rsidRDefault="0086364D">
      <w:pPr>
        <w:widowControl w:val="0"/>
        <w:numPr>
          <w:ilvl w:val="0"/>
          <w:numId w:val="4"/>
        </w:numPr>
        <w:ind w:left="0"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kontrolní (pro ověření shody s průkazními zkouškami během výstavby)</w:t>
      </w:r>
    </w:p>
    <w:p w14:paraId="2B8AD5B2" w14:textId="77777777" w:rsidR="00DC09A0" w:rsidRPr="00CA2B21" w:rsidRDefault="0086364D">
      <w:pPr>
        <w:widowControl w:val="0"/>
        <w:numPr>
          <w:ilvl w:val="0"/>
          <w:numId w:val="4"/>
        </w:numPr>
        <w:ind w:left="0"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přejímací (v závislosti na požadavcích investora)</w:t>
      </w:r>
    </w:p>
    <w:p w14:paraId="2B8AD5B3" w14:textId="77777777" w:rsidR="00DC09A0" w:rsidRPr="00CA2B21" w:rsidRDefault="0086364D">
      <w:pPr>
        <w:widowControl w:val="0"/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 xml:space="preserve">Druh (např. vlhkost, míra </w:t>
      </w:r>
      <w:proofErr w:type="gramStart"/>
      <w:r w:rsidRPr="00CA2B21">
        <w:rPr>
          <w:rFonts w:ascii="Calibri" w:hAnsi="Calibri" w:cs="Calibri"/>
          <w:sz w:val="20"/>
        </w:rPr>
        <w:t>zhutnění,</w:t>
      </w:r>
      <w:proofErr w:type="gramEnd"/>
      <w:r w:rsidRPr="00CA2B21">
        <w:rPr>
          <w:rFonts w:ascii="Calibri" w:hAnsi="Calibri" w:cs="Calibri"/>
          <w:sz w:val="20"/>
        </w:rPr>
        <w:t xml:space="preserve"> atd.) a četnost zkoušek jsou uvedeny v ČSN 73 6133.</w:t>
      </w:r>
    </w:p>
    <w:p w14:paraId="2B8AD5B4" w14:textId="77777777" w:rsidR="00DC09A0" w:rsidRPr="00CA2B21" w:rsidRDefault="0086364D">
      <w:pPr>
        <w:pStyle w:val="HEL11"/>
        <w:rPr>
          <w:rFonts w:cs="Calibri"/>
          <w:sz w:val="20"/>
        </w:rPr>
      </w:pPr>
      <w:r w:rsidRPr="00CA2B21">
        <w:rPr>
          <w:rFonts w:cs="Calibri"/>
          <w:sz w:val="20"/>
        </w:rPr>
        <w:t xml:space="preserve">Zemina v aktivní zóně musí odpovídat normě ČSN 73 6133. </w:t>
      </w:r>
    </w:p>
    <w:p w14:paraId="2B8AD5B5" w14:textId="77777777" w:rsidR="00DC09A0" w:rsidRPr="001511FA" w:rsidRDefault="00DC09A0">
      <w:pPr>
        <w:pStyle w:val="HEL11"/>
        <w:rPr>
          <w:rFonts w:cs="Calibri"/>
          <w:b w:val="0"/>
          <w:sz w:val="20"/>
          <w:highlight w:val="yellow"/>
        </w:rPr>
      </w:pPr>
    </w:p>
    <w:p w14:paraId="2B8AD5B7" w14:textId="77777777" w:rsidR="00DC09A0" w:rsidRPr="00CA2B21" w:rsidRDefault="0086364D">
      <w:pPr>
        <w:pStyle w:val="Nadpis1"/>
        <w:numPr>
          <w:ilvl w:val="0"/>
          <w:numId w:val="3"/>
        </w:numPr>
      </w:pPr>
      <w:bookmarkStart w:id="25" w:name="_Toc523989823"/>
      <w:bookmarkStart w:id="26" w:name="_Toc313890441"/>
      <w:bookmarkStart w:id="27" w:name="_Toc380392835"/>
      <w:r w:rsidRPr="00CA2B21">
        <w:t>Inženýrské sítě</w:t>
      </w:r>
      <w:bookmarkEnd w:id="25"/>
      <w:bookmarkEnd w:id="26"/>
      <w:bookmarkEnd w:id="27"/>
    </w:p>
    <w:p w14:paraId="2B8AD5B8" w14:textId="77777777" w:rsidR="00DC09A0" w:rsidRPr="00CA2B21" w:rsidRDefault="00DC09A0">
      <w:pPr>
        <w:ind w:left="708"/>
        <w:jc w:val="both"/>
        <w:rPr>
          <w:u w:val="single"/>
        </w:rPr>
      </w:pPr>
    </w:p>
    <w:p w14:paraId="2B8AD5B9" w14:textId="1AA778B7" w:rsidR="00DC09A0" w:rsidRPr="00CA2B21" w:rsidRDefault="00BE2758">
      <w:pPr>
        <w:ind w:firstLine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Před počátkem výstavby je nutné vytyčit všechny stávající inženýrské sítě</w:t>
      </w:r>
      <w:r w:rsidR="007D440B">
        <w:rPr>
          <w:rFonts w:ascii="Calibri" w:hAnsi="Calibri" w:cs="Calibri"/>
          <w:sz w:val="20"/>
        </w:rPr>
        <w:t xml:space="preserve">. Předpoklad je výkop do hloubky cca </w:t>
      </w:r>
      <w:proofErr w:type="gramStart"/>
      <w:r w:rsidR="007D440B">
        <w:rPr>
          <w:rFonts w:ascii="Calibri" w:hAnsi="Calibri" w:cs="Calibri"/>
          <w:sz w:val="20"/>
        </w:rPr>
        <w:t>60cm</w:t>
      </w:r>
      <w:proofErr w:type="gramEnd"/>
      <w:r w:rsidR="007D440B">
        <w:rPr>
          <w:rFonts w:ascii="Calibri" w:hAnsi="Calibri" w:cs="Calibri"/>
          <w:sz w:val="20"/>
        </w:rPr>
        <w:t xml:space="preserve">, stávající inženýrské sítě by neměly být tímto výkopem dotčeny. Před stavbou si zhotovitel zajistí </w:t>
      </w:r>
      <w:r w:rsidR="00254E9B">
        <w:rPr>
          <w:rFonts w:ascii="Calibri" w:hAnsi="Calibri" w:cs="Calibri"/>
          <w:sz w:val="20"/>
        </w:rPr>
        <w:t>aktuální poklady tras inženýrských sítí v dané lokalitě.</w:t>
      </w:r>
    </w:p>
    <w:p w14:paraId="2B8AD5BF" w14:textId="77777777" w:rsidR="00DC09A0" w:rsidRPr="00CA2B21" w:rsidRDefault="0086364D">
      <w:pPr>
        <w:pStyle w:val="Nadpis1"/>
        <w:numPr>
          <w:ilvl w:val="0"/>
          <w:numId w:val="3"/>
        </w:numPr>
      </w:pPr>
      <w:bookmarkStart w:id="28" w:name="_Toc523989826"/>
      <w:bookmarkStart w:id="29" w:name="_Toc313541690"/>
      <w:bookmarkStart w:id="30" w:name="_Toc313884706"/>
      <w:bookmarkStart w:id="31" w:name="_Toc313890447"/>
      <w:bookmarkStart w:id="32" w:name="_Toc380392839"/>
      <w:r w:rsidRPr="00CA2B21">
        <w:lastRenderedPageBreak/>
        <w:t>Vytyčení</w:t>
      </w:r>
      <w:bookmarkEnd w:id="28"/>
      <w:bookmarkEnd w:id="29"/>
      <w:bookmarkEnd w:id="30"/>
      <w:bookmarkEnd w:id="31"/>
      <w:bookmarkEnd w:id="32"/>
    </w:p>
    <w:p w14:paraId="2B8AD5C0" w14:textId="77777777" w:rsidR="00DC09A0" w:rsidRPr="00CA2B21" w:rsidRDefault="00DC09A0">
      <w:pPr>
        <w:keepNext/>
        <w:ind w:left="709"/>
        <w:jc w:val="both"/>
        <w:rPr>
          <w:rFonts w:ascii="Calibri" w:hAnsi="Calibri" w:cs="Calibri"/>
        </w:rPr>
      </w:pPr>
    </w:p>
    <w:p w14:paraId="2B8AD5C1" w14:textId="77777777" w:rsidR="00DC09A0" w:rsidRPr="00CA2B21" w:rsidRDefault="0086364D">
      <w:pPr>
        <w:pStyle w:val="Zkladntext"/>
        <w:spacing w:line="240" w:lineRule="auto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 xml:space="preserve">Stavba bude vytyčena na základy vytyčovacích bodu v soustavě JTSK, </w:t>
      </w:r>
      <w:proofErr w:type="spellStart"/>
      <w:r w:rsidRPr="00CA2B21">
        <w:rPr>
          <w:rFonts w:ascii="Calibri" w:hAnsi="Calibri" w:cs="Calibri"/>
          <w:sz w:val="20"/>
        </w:rPr>
        <w:t>BpV</w:t>
      </w:r>
      <w:proofErr w:type="spellEnd"/>
      <w:r w:rsidRPr="00CA2B21">
        <w:rPr>
          <w:rFonts w:ascii="Calibri" w:hAnsi="Calibri" w:cs="Calibri"/>
          <w:sz w:val="20"/>
        </w:rPr>
        <w:t>.</w:t>
      </w:r>
    </w:p>
    <w:p w14:paraId="2B8AD5C2" w14:textId="77777777" w:rsidR="00DC09A0" w:rsidRPr="00CA2B21" w:rsidRDefault="00DC09A0">
      <w:pPr>
        <w:pStyle w:val="Zkladntext"/>
        <w:spacing w:line="240" w:lineRule="auto"/>
        <w:rPr>
          <w:rFonts w:ascii="Calibri" w:hAnsi="Calibri" w:cs="Calibri"/>
          <w:sz w:val="20"/>
        </w:rPr>
      </w:pPr>
    </w:p>
    <w:p w14:paraId="2B8AD5C3" w14:textId="77777777" w:rsidR="00DC09A0" w:rsidRPr="00CA2B21" w:rsidRDefault="0086364D">
      <w:pPr>
        <w:pStyle w:val="Nadpis1"/>
        <w:numPr>
          <w:ilvl w:val="0"/>
          <w:numId w:val="3"/>
        </w:numPr>
      </w:pPr>
      <w:bookmarkStart w:id="33" w:name="_Toc523989827"/>
      <w:bookmarkStart w:id="34" w:name="_Toc313890448"/>
      <w:bookmarkStart w:id="35" w:name="_Toc380392840"/>
      <w:r w:rsidRPr="00CA2B21">
        <w:t>Zajištění bezpečnosti provozu stavby při jejím užívání</w:t>
      </w:r>
      <w:bookmarkEnd w:id="33"/>
      <w:bookmarkEnd w:id="34"/>
      <w:bookmarkEnd w:id="35"/>
    </w:p>
    <w:p w14:paraId="2B8AD5C4" w14:textId="77777777" w:rsidR="00DC09A0" w:rsidRPr="00CA2B21" w:rsidRDefault="00DC09A0"/>
    <w:p w14:paraId="2B8AD5C5" w14:textId="77777777" w:rsidR="00DC09A0" w:rsidRPr="00CA2B21" w:rsidRDefault="0086364D">
      <w:pPr>
        <w:pStyle w:val="Zkladntext"/>
        <w:spacing w:line="240" w:lineRule="auto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Při práci je nutné dodržovat vyhlášku č. 591/2006 sbírky, Ochrana a bezpečnost zdraví na staveništi. Dále je nutné dodržovat technologické postupy a technické předpisy pro jednotlivé druhy prací. Při realizaci je nutné, aby dodavatel využíval veškeré zařízení jen pro ty účely, pro které jsou navrženy, a dodržoval zásady určené v této části dokumentace. Při provádění stavebních prací je nutné dodržovat všechny bezpečnostní předpisy ve stavebnictví a respektovat zejména:</w:t>
      </w:r>
    </w:p>
    <w:p w14:paraId="2B8AD5C6" w14:textId="77777777" w:rsidR="00DC09A0" w:rsidRPr="00CA2B21" w:rsidRDefault="00DC09A0">
      <w:pPr>
        <w:pStyle w:val="Zkladntext"/>
        <w:spacing w:line="240" w:lineRule="auto"/>
        <w:rPr>
          <w:rFonts w:ascii="Calibri" w:hAnsi="Calibri" w:cs="Calibri"/>
          <w:sz w:val="20"/>
        </w:rPr>
      </w:pPr>
    </w:p>
    <w:p w14:paraId="2B8AD5C7" w14:textId="77777777" w:rsidR="00DC09A0" w:rsidRPr="00CA2B21" w:rsidRDefault="0086364D">
      <w:pPr>
        <w:pStyle w:val="Zkladntext"/>
        <w:spacing w:line="240" w:lineRule="auto"/>
        <w:ind w:left="709" w:hanging="709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 xml:space="preserve">a) </w:t>
      </w:r>
      <w:r w:rsidRPr="00CA2B21">
        <w:rPr>
          <w:rFonts w:ascii="Calibri" w:hAnsi="Calibri" w:cs="Calibri"/>
          <w:sz w:val="20"/>
        </w:rPr>
        <w:tab/>
        <w:t>Ochranu proti hluku a vibracím. Dodavatel stavebních prací je povinen používat především stroje a mechanismy v dobrém technickém stavu a jejich hlučnost nepřekračuje hodnoty stanovené v technickém osvědčení.</w:t>
      </w:r>
    </w:p>
    <w:p w14:paraId="2B8AD5C8" w14:textId="77777777" w:rsidR="00DC09A0" w:rsidRPr="00CA2B21" w:rsidRDefault="0086364D">
      <w:pPr>
        <w:pStyle w:val="Zkladntext"/>
        <w:spacing w:line="240" w:lineRule="auto"/>
        <w:ind w:left="709" w:hanging="709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 xml:space="preserve">c) </w:t>
      </w:r>
      <w:r w:rsidRPr="00CA2B21">
        <w:rPr>
          <w:rFonts w:ascii="Calibri" w:hAnsi="Calibri" w:cs="Calibri"/>
          <w:sz w:val="20"/>
        </w:rPr>
        <w:tab/>
        <w:t>Ochranu proti znečištění povrchových i podzemních vod. Po dobu výstavby je nutno při provádění stavebních prací a provozu zařízení staveniště vhodným způsobem zabezpečit, aby nemohlo dojít ke znečištění vodního toku. Jedná se zejména o vhodný způsob odvádění dešťových vod z provozních, výrobních a skladovacích ploch staveniště.</w:t>
      </w:r>
    </w:p>
    <w:p w14:paraId="2B8AD5C9" w14:textId="77777777" w:rsidR="00DC09A0" w:rsidRPr="00CA2B21" w:rsidRDefault="0086364D">
      <w:p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CA2B21">
        <w:rPr>
          <w:rFonts w:ascii="Calibri" w:hAnsi="Calibri" w:cs="Calibri"/>
          <w:sz w:val="20"/>
          <w:szCs w:val="20"/>
        </w:rPr>
        <w:t xml:space="preserve">d) </w:t>
      </w:r>
      <w:r w:rsidRPr="00CA2B21">
        <w:rPr>
          <w:rFonts w:ascii="Calibri" w:hAnsi="Calibri" w:cs="Calibri"/>
          <w:sz w:val="20"/>
          <w:szCs w:val="20"/>
        </w:rPr>
        <w:tab/>
        <w:t>Ochrana stávající zeleně.</w:t>
      </w:r>
    </w:p>
    <w:p w14:paraId="2B8AD5CA" w14:textId="77777777" w:rsidR="00DC09A0" w:rsidRPr="001511FA" w:rsidRDefault="00DC09A0">
      <w:pPr>
        <w:jc w:val="both"/>
        <w:rPr>
          <w:b/>
          <w:sz w:val="24"/>
          <w:highlight w:val="yellow"/>
        </w:rPr>
      </w:pPr>
    </w:p>
    <w:p w14:paraId="2B8AD5CB" w14:textId="77777777" w:rsidR="00DC09A0" w:rsidRPr="00CA2B21" w:rsidRDefault="0086364D">
      <w:pPr>
        <w:pStyle w:val="Nadpis1"/>
        <w:numPr>
          <w:ilvl w:val="0"/>
          <w:numId w:val="3"/>
        </w:numPr>
      </w:pPr>
      <w:bookmarkStart w:id="36" w:name="_Toc523989828"/>
      <w:bookmarkStart w:id="37" w:name="_Toc313541692"/>
      <w:bookmarkStart w:id="38" w:name="_Toc313884708"/>
      <w:bookmarkStart w:id="39" w:name="_Toc313890449"/>
      <w:bookmarkStart w:id="40" w:name="_Toc380392841"/>
      <w:r w:rsidRPr="00CA2B21">
        <w:t>Základní technologické požadavky</w:t>
      </w:r>
      <w:bookmarkEnd w:id="36"/>
      <w:bookmarkEnd w:id="37"/>
      <w:bookmarkEnd w:id="38"/>
      <w:bookmarkEnd w:id="39"/>
      <w:bookmarkEnd w:id="40"/>
    </w:p>
    <w:p w14:paraId="2B8AD5CC" w14:textId="77777777" w:rsidR="00DC09A0" w:rsidRPr="00CA2B21" w:rsidRDefault="00DC09A0">
      <w:pPr>
        <w:keepNext/>
        <w:ind w:left="709"/>
        <w:jc w:val="both"/>
        <w:rPr>
          <w:rFonts w:ascii="Calibri" w:hAnsi="Calibri" w:cs="Calibri"/>
        </w:rPr>
      </w:pPr>
    </w:p>
    <w:p w14:paraId="2B8AD5CD" w14:textId="77777777" w:rsidR="00DC09A0" w:rsidRPr="00CA2B21" w:rsidRDefault="0086364D">
      <w:pPr>
        <w:widowControl w:val="0"/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 xml:space="preserve">Při realizaci musí být v plném rozsahu dodržovány příslušné Technické kvalitativní podmínky (TKP) staveb pozemních komunikací. Požadavky na kvalitu a zásady zkoušení jsou podrobně v těchto TKP specifikovány. </w:t>
      </w:r>
    </w:p>
    <w:p w14:paraId="2B8AD5CE" w14:textId="77777777" w:rsidR="00DC09A0" w:rsidRPr="00CA2B21" w:rsidRDefault="0086364D">
      <w:pPr>
        <w:widowControl w:val="0"/>
        <w:ind w:firstLine="0"/>
        <w:jc w:val="both"/>
        <w:rPr>
          <w:rFonts w:ascii="Calibri" w:hAnsi="Calibri" w:cs="Calibri"/>
          <w:sz w:val="20"/>
          <w:u w:val="single"/>
        </w:rPr>
      </w:pPr>
      <w:r w:rsidRPr="00CA2B21">
        <w:rPr>
          <w:rFonts w:ascii="Calibri" w:hAnsi="Calibri" w:cs="Calibri"/>
          <w:sz w:val="20"/>
          <w:u w:val="single"/>
        </w:rPr>
        <w:t>Zejména TKP:</w:t>
      </w:r>
    </w:p>
    <w:p w14:paraId="2B8AD5CF" w14:textId="77777777" w:rsidR="00DC09A0" w:rsidRPr="00CA2B21" w:rsidRDefault="0086364D">
      <w:pPr>
        <w:widowControl w:val="0"/>
        <w:numPr>
          <w:ilvl w:val="0"/>
          <w:numId w:val="4"/>
        </w:numPr>
        <w:tabs>
          <w:tab w:val="left" w:pos="142"/>
        </w:tabs>
        <w:ind w:left="0" w:firstLine="0"/>
        <w:jc w:val="both"/>
      </w:pPr>
      <w:r w:rsidRPr="00CA2B21">
        <w:rPr>
          <w:rFonts w:ascii="Calibri" w:hAnsi="Calibri" w:cs="Calibri"/>
          <w:sz w:val="20"/>
        </w:rPr>
        <w:t xml:space="preserve">1 - </w:t>
      </w:r>
      <w:hyperlink r:id="rId8">
        <w:r w:rsidRPr="00CA2B21">
          <w:rPr>
            <w:rStyle w:val="Internetovodkaz"/>
            <w:rFonts w:ascii="Calibri" w:hAnsi="Calibri" w:cs="Calibri"/>
            <w:color w:val="auto"/>
            <w:sz w:val="20"/>
          </w:rPr>
          <w:t xml:space="preserve">Všeobecně (vč. příloh </w:t>
        </w:r>
        <w:proofErr w:type="gramStart"/>
        <w:r w:rsidRPr="00CA2B21">
          <w:rPr>
            <w:rStyle w:val="Internetovodkaz"/>
            <w:rFonts w:ascii="Calibri" w:hAnsi="Calibri" w:cs="Calibri"/>
            <w:color w:val="auto"/>
            <w:sz w:val="20"/>
          </w:rPr>
          <w:t>1 – 9</w:t>
        </w:r>
        <w:proofErr w:type="gramEnd"/>
        <w:r w:rsidRPr="00CA2B21">
          <w:rPr>
            <w:rStyle w:val="Internetovodkaz"/>
            <w:rFonts w:ascii="Calibri" w:hAnsi="Calibri" w:cs="Calibri"/>
            <w:color w:val="auto"/>
            <w:sz w:val="20"/>
          </w:rPr>
          <w:t>)</w:t>
        </w:r>
      </w:hyperlink>
    </w:p>
    <w:p w14:paraId="2B8AD5D0" w14:textId="77777777" w:rsidR="00DC09A0" w:rsidRPr="00CA2B21" w:rsidRDefault="0086364D">
      <w:pPr>
        <w:widowControl w:val="0"/>
        <w:numPr>
          <w:ilvl w:val="0"/>
          <w:numId w:val="4"/>
        </w:numPr>
        <w:tabs>
          <w:tab w:val="left" w:pos="142"/>
        </w:tabs>
        <w:ind w:left="0" w:firstLine="0"/>
        <w:jc w:val="both"/>
      </w:pPr>
      <w:r w:rsidRPr="00CA2B21">
        <w:rPr>
          <w:rFonts w:ascii="Calibri" w:hAnsi="Calibri" w:cs="Calibri"/>
          <w:sz w:val="20"/>
        </w:rPr>
        <w:t xml:space="preserve">2 - </w:t>
      </w:r>
      <w:hyperlink r:id="rId9">
        <w:r w:rsidRPr="00CA2B21">
          <w:rPr>
            <w:rStyle w:val="Internetovodkaz"/>
            <w:rFonts w:ascii="Calibri" w:hAnsi="Calibri" w:cs="Calibri"/>
            <w:color w:val="auto"/>
            <w:sz w:val="20"/>
          </w:rPr>
          <w:t>Příprava staveniště</w:t>
        </w:r>
      </w:hyperlink>
    </w:p>
    <w:p w14:paraId="2B8AD5D1" w14:textId="77777777" w:rsidR="00DC09A0" w:rsidRPr="00CA2B21" w:rsidRDefault="0086364D">
      <w:pPr>
        <w:widowControl w:val="0"/>
        <w:numPr>
          <w:ilvl w:val="0"/>
          <w:numId w:val="4"/>
        </w:numPr>
        <w:tabs>
          <w:tab w:val="left" w:pos="142"/>
        </w:tabs>
        <w:ind w:left="0" w:firstLine="0"/>
        <w:jc w:val="both"/>
      </w:pPr>
      <w:r w:rsidRPr="00CA2B21">
        <w:rPr>
          <w:rFonts w:ascii="Calibri" w:hAnsi="Calibri" w:cs="Calibri"/>
          <w:sz w:val="20"/>
        </w:rPr>
        <w:t xml:space="preserve">3 - </w:t>
      </w:r>
      <w:hyperlink r:id="rId10">
        <w:r w:rsidRPr="00CA2B21">
          <w:rPr>
            <w:rStyle w:val="Internetovodkaz"/>
            <w:rFonts w:ascii="Calibri" w:hAnsi="Calibri" w:cs="Calibri"/>
            <w:color w:val="auto"/>
            <w:sz w:val="20"/>
          </w:rPr>
          <w:t>Odvodnění a chráničky pro inženýrské sítě</w:t>
        </w:r>
      </w:hyperlink>
    </w:p>
    <w:p w14:paraId="2B8AD5D2" w14:textId="77777777" w:rsidR="00DC09A0" w:rsidRPr="00CA2B21" w:rsidRDefault="0086364D">
      <w:pPr>
        <w:widowControl w:val="0"/>
        <w:numPr>
          <w:ilvl w:val="0"/>
          <w:numId w:val="4"/>
        </w:numPr>
        <w:tabs>
          <w:tab w:val="left" w:pos="142"/>
        </w:tabs>
        <w:ind w:left="0" w:firstLine="0"/>
        <w:jc w:val="both"/>
      </w:pPr>
      <w:r w:rsidRPr="00CA2B21">
        <w:rPr>
          <w:rFonts w:ascii="Calibri" w:hAnsi="Calibri" w:cs="Calibri"/>
          <w:sz w:val="20"/>
        </w:rPr>
        <w:t xml:space="preserve">4 - </w:t>
      </w:r>
      <w:hyperlink r:id="rId11">
        <w:r w:rsidRPr="00CA2B21">
          <w:rPr>
            <w:rStyle w:val="Internetovodkaz"/>
            <w:rFonts w:ascii="Calibri" w:hAnsi="Calibri" w:cs="Calibri"/>
            <w:color w:val="auto"/>
            <w:sz w:val="20"/>
          </w:rPr>
          <w:t>Zemní práce</w:t>
        </w:r>
      </w:hyperlink>
    </w:p>
    <w:p w14:paraId="2B8AD5D3" w14:textId="77777777" w:rsidR="00DC09A0" w:rsidRPr="00CA2B21" w:rsidRDefault="0086364D">
      <w:pPr>
        <w:widowControl w:val="0"/>
        <w:numPr>
          <w:ilvl w:val="0"/>
          <w:numId w:val="4"/>
        </w:numPr>
        <w:tabs>
          <w:tab w:val="left" w:pos="142"/>
        </w:tabs>
        <w:ind w:left="0" w:firstLine="0"/>
        <w:jc w:val="both"/>
      </w:pPr>
      <w:r w:rsidRPr="00CA2B21">
        <w:rPr>
          <w:rFonts w:ascii="Calibri" w:hAnsi="Calibri" w:cs="Calibri"/>
          <w:sz w:val="20"/>
        </w:rPr>
        <w:t xml:space="preserve">10 - </w:t>
      </w:r>
      <w:hyperlink r:id="rId12">
        <w:r w:rsidRPr="00CA2B21">
          <w:rPr>
            <w:rStyle w:val="Internetovodkaz"/>
            <w:rFonts w:ascii="Calibri" w:hAnsi="Calibri" w:cs="Calibri"/>
            <w:color w:val="auto"/>
            <w:sz w:val="20"/>
          </w:rPr>
          <w:t>Obrubníky, krajníky, chodníky a dopravní plochy</w:t>
        </w:r>
      </w:hyperlink>
    </w:p>
    <w:p w14:paraId="2B8AD5D4" w14:textId="77777777" w:rsidR="00DC09A0" w:rsidRPr="00CA2B21" w:rsidRDefault="0086364D">
      <w:pPr>
        <w:widowControl w:val="0"/>
        <w:numPr>
          <w:ilvl w:val="0"/>
          <w:numId w:val="4"/>
        </w:numPr>
        <w:tabs>
          <w:tab w:val="left" w:pos="142"/>
        </w:tabs>
        <w:ind w:left="0" w:firstLine="0"/>
        <w:jc w:val="both"/>
      </w:pPr>
      <w:r w:rsidRPr="00CA2B21">
        <w:rPr>
          <w:rFonts w:ascii="Calibri" w:hAnsi="Calibri" w:cs="Calibri"/>
          <w:sz w:val="20"/>
        </w:rPr>
        <w:t xml:space="preserve">13 - </w:t>
      </w:r>
      <w:hyperlink r:id="rId13">
        <w:r w:rsidRPr="00CA2B21">
          <w:rPr>
            <w:rStyle w:val="Internetovodkaz"/>
            <w:rFonts w:ascii="Calibri" w:hAnsi="Calibri" w:cs="Calibri"/>
            <w:color w:val="auto"/>
            <w:sz w:val="20"/>
          </w:rPr>
          <w:t>Vegetační úpravy</w:t>
        </w:r>
      </w:hyperlink>
    </w:p>
    <w:p w14:paraId="2B8AD5D5" w14:textId="77777777" w:rsidR="00DC09A0" w:rsidRPr="00CA2B21" w:rsidRDefault="0086364D">
      <w:pPr>
        <w:widowControl w:val="0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18 - Beton pro konstrukce (vč. 10 příloh)</w:t>
      </w:r>
    </w:p>
    <w:p w14:paraId="2B8AD5D6" w14:textId="77777777" w:rsidR="00DC09A0" w:rsidRPr="00CA2B21" w:rsidRDefault="00DC09A0">
      <w:pPr>
        <w:widowControl w:val="0"/>
        <w:ind w:firstLine="0"/>
        <w:jc w:val="both"/>
        <w:rPr>
          <w:rFonts w:ascii="Calibri" w:hAnsi="Calibri" w:cs="Calibri"/>
        </w:rPr>
      </w:pPr>
    </w:p>
    <w:p w14:paraId="2B8AD5D7" w14:textId="77777777" w:rsidR="00DC09A0" w:rsidRPr="00CA2B21" w:rsidRDefault="0086364D">
      <w:pPr>
        <w:pStyle w:val="Nadpis1"/>
        <w:keepNext w:val="0"/>
        <w:widowControl w:val="0"/>
        <w:numPr>
          <w:ilvl w:val="0"/>
          <w:numId w:val="0"/>
        </w:numPr>
        <w:ind w:firstLine="567"/>
        <w:rPr>
          <w:rFonts w:ascii="Calibri" w:hAnsi="Calibri" w:cs="Calibri"/>
          <w:sz w:val="20"/>
        </w:rPr>
      </w:pPr>
      <w:bookmarkStart w:id="41" w:name="_Toc523989829"/>
      <w:bookmarkStart w:id="42" w:name="_Toc482517806"/>
      <w:bookmarkStart w:id="43" w:name="_Toc446055940"/>
      <w:bookmarkStart w:id="44" w:name="_Toc429297652"/>
      <w:bookmarkStart w:id="45" w:name="_Toc409009351"/>
      <w:bookmarkStart w:id="46" w:name="_Toc399273317"/>
      <w:bookmarkStart w:id="47" w:name="_Toc272221556"/>
      <w:bookmarkStart w:id="48" w:name="_Toc272314602"/>
      <w:bookmarkStart w:id="49" w:name="_Toc272314678"/>
      <w:bookmarkStart w:id="50" w:name="_Toc272314778"/>
      <w:bookmarkStart w:id="51" w:name="_Toc272335107"/>
      <w:bookmarkStart w:id="52" w:name="_Toc313259737"/>
      <w:bookmarkStart w:id="53" w:name="_Toc313541693"/>
      <w:bookmarkStart w:id="54" w:name="_Toc313884709"/>
      <w:bookmarkStart w:id="55" w:name="_Toc313890284"/>
      <w:bookmarkStart w:id="56" w:name="_Toc313890450"/>
      <w:bookmarkStart w:id="57" w:name="_Toc313890510"/>
      <w:bookmarkStart w:id="58" w:name="_Toc313948325"/>
      <w:bookmarkStart w:id="59" w:name="_Toc319485554"/>
      <w:bookmarkStart w:id="60" w:name="_Toc345316658"/>
      <w:bookmarkStart w:id="61" w:name="_Toc350258467"/>
      <w:bookmarkStart w:id="62" w:name="_Toc354214407"/>
      <w:bookmarkStart w:id="63" w:name="_Toc364689578"/>
      <w:bookmarkStart w:id="64" w:name="_Toc372019956"/>
      <w:bookmarkStart w:id="65" w:name="_Toc380392842"/>
      <w:r w:rsidRPr="00CA2B21">
        <w:rPr>
          <w:rFonts w:ascii="Calibri" w:hAnsi="Calibri" w:cs="Calibri"/>
          <w:b w:val="0"/>
          <w:bCs w:val="0"/>
          <w:sz w:val="20"/>
        </w:rPr>
        <w:t>Dále musí být dodrženy podmínky stanovené v Technických podmínkách (TP) a ve Vzorových listech (VL), zejména: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2B8AD5D8" w14:textId="77777777" w:rsidR="00DC09A0" w:rsidRPr="00CA2B21" w:rsidRDefault="0086364D">
      <w:pPr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TP 170 -</w:t>
      </w:r>
      <w:r w:rsidRPr="00CA2B21">
        <w:rPr>
          <w:rFonts w:ascii="Calibri" w:hAnsi="Calibri" w:cs="Calibri"/>
          <w:sz w:val="20"/>
        </w:rPr>
        <w:tab/>
        <w:t>Navrhování vozovek pozemních komunikací</w:t>
      </w:r>
    </w:p>
    <w:p w14:paraId="2B8AD5D9" w14:textId="77777777" w:rsidR="00DC09A0" w:rsidRPr="00CA2B21" w:rsidRDefault="0086364D">
      <w:pPr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 xml:space="preserve">TP 83 </w:t>
      </w:r>
      <w:proofErr w:type="gramStart"/>
      <w:r w:rsidRPr="00CA2B21">
        <w:rPr>
          <w:rFonts w:ascii="Calibri" w:hAnsi="Calibri" w:cs="Calibri"/>
          <w:sz w:val="20"/>
        </w:rPr>
        <w:t>-  Odvodnění</w:t>
      </w:r>
      <w:proofErr w:type="gramEnd"/>
      <w:r w:rsidRPr="00CA2B21">
        <w:rPr>
          <w:rFonts w:ascii="Calibri" w:hAnsi="Calibri" w:cs="Calibri"/>
          <w:sz w:val="20"/>
        </w:rPr>
        <w:t xml:space="preserve"> pozemních komunikací</w:t>
      </w:r>
    </w:p>
    <w:p w14:paraId="2B8AD5DA" w14:textId="77777777" w:rsidR="00DC09A0" w:rsidRPr="00CA2B21" w:rsidRDefault="0086364D">
      <w:pPr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VL 2.2 – Odvodnění</w:t>
      </w:r>
    </w:p>
    <w:p w14:paraId="2B8AD5DB" w14:textId="77777777" w:rsidR="00DC09A0" w:rsidRPr="00CA2B21" w:rsidRDefault="0086364D">
      <w:pPr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VL 2 – Silniční těleso</w:t>
      </w:r>
    </w:p>
    <w:p w14:paraId="2B8AD5DC" w14:textId="77777777" w:rsidR="00DC09A0" w:rsidRPr="00CA2B21" w:rsidRDefault="00DC09A0">
      <w:pPr>
        <w:pStyle w:val="Zhlav"/>
        <w:tabs>
          <w:tab w:val="left" w:pos="708"/>
        </w:tabs>
        <w:jc w:val="both"/>
        <w:rPr>
          <w:rFonts w:ascii="Calibri" w:hAnsi="Calibri" w:cs="Calibri"/>
        </w:rPr>
      </w:pPr>
    </w:p>
    <w:p w14:paraId="2B8AD5DD" w14:textId="77777777" w:rsidR="00DC09A0" w:rsidRPr="00CA2B21" w:rsidRDefault="0086364D">
      <w:pPr>
        <w:widowControl w:val="0"/>
        <w:ind w:firstLine="0"/>
        <w:jc w:val="both"/>
        <w:rPr>
          <w:rFonts w:ascii="Calibri" w:hAnsi="Calibri" w:cs="Calibri"/>
          <w:sz w:val="20"/>
          <w:u w:val="single"/>
        </w:rPr>
      </w:pPr>
      <w:r w:rsidRPr="00CA2B21">
        <w:rPr>
          <w:rFonts w:ascii="Calibri" w:hAnsi="Calibri" w:cs="Calibri"/>
          <w:sz w:val="20"/>
          <w:u w:val="single"/>
        </w:rPr>
        <w:t>Zemní těleso, aktivní zóna, zemní pláň:</w:t>
      </w:r>
    </w:p>
    <w:p w14:paraId="2B8AD5DE" w14:textId="77777777" w:rsidR="00DC09A0" w:rsidRPr="00CA2B21" w:rsidRDefault="0086364D">
      <w:pPr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 xml:space="preserve">Pro zemní práce platí ustanovení ZTKP, TKP (zejména kap. 4), ČSN (zejména ČSN 73 6133), příslušné TP (zejména TP 76, TP 94, TP 97), vzorové listy pozemních komunikací a předpisy uvedené v ZTKP a TKP. </w:t>
      </w:r>
    </w:p>
    <w:p w14:paraId="2B8AD5DF" w14:textId="77777777" w:rsidR="00DC09A0" w:rsidRPr="00CA2B21" w:rsidRDefault="00DC09A0">
      <w:pPr>
        <w:widowControl w:val="0"/>
        <w:ind w:firstLine="0"/>
        <w:jc w:val="both"/>
        <w:rPr>
          <w:rFonts w:ascii="Calibri" w:hAnsi="Calibri" w:cs="Calibri"/>
          <w:u w:val="single"/>
        </w:rPr>
      </w:pPr>
    </w:p>
    <w:p w14:paraId="2B8AD5E0" w14:textId="77777777" w:rsidR="00DC09A0" w:rsidRPr="00CA2B21" w:rsidRDefault="0086364D">
      <w:pPr>
        <w:widowControl w:val="0"/>
        <w:ind w:firstLine="0"/>
        <w:jc w:val="both"/>
        <w:rPr>
          <w:rFonts w:ascii="Calibri" w:hAnsi="Calibri" w:cs="Calibri"/>
          <w:sz w:val="20"/>
          <w:u w:val="single"/>
        </w:rPr>
      </w:pPr>
      <w:r w:rsidRPr="00CA2B21">
        <w:rPr>
          <w:rFonts w:ascii="Calibri" w:hAnsi="Calibri" w:cs="Calibri"/>
          <w:sz w:val="20"/>
          <w:u w:val="single"/>
        </w:rPr>
        <w:t>Další požadavky:</w:t>
      </w:r>
    </w:p>
    <w:p w14:paraId="2B8AD5E1" w14:textId="77777777" w:rsidR="00DC09A0" w:rsidRPr="00CA2B21" w:rsidRDefault="0086364D">
      <w:pPr>
        <w:widowControl w:val="0"/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 xml:space="preserve">Stavba </w:t>
      </w:r>
      <w:proofErr w:type="gramStart"/>
      <w:r w:rsidRPr="00CA2B21">
        <w:rPr>
          <w:rFonts w:ascii="Calibri" w:hAnsi="Calibri" w:cs="Calibri"/>
          <w:sz w:val="20"/>
        </w:rPr>
        <w:t>vozovek - Nestmelené</w:t>
      </w:r>
      <w:proofErr w:type="gramEnd"/>
      <w:r w:rsidRPr="00CA2B21">
        <w:rPr>
          <w:rFonts w:ascii="Calibri" w:hAnsi="Calibri" w:cs="Calibri"/>
          <w:sz w:val="20"/>
        </w:rPr>
        <w:t xml:space="preserve"> vrstvy</w:t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  <w:t>ČSN 73 6126</w:t>
      </w:r>
    </w:p>
    <w:p w14:paraId="2B8AD5E2" w14:textId="77777777" w:rsidR="00DC09A0" w:rsidRPr="00CA2B21" w:rsidRDefault="0086364D">
      <w:pPr>
        <w:widowControl w:val="0"/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Návrh a provádění zemního tělesa pozemních komunikací</w:t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  <w:t>ČSN 73 6133</w:t>
      </w:r>
    </w:p>
    <w:p w14:paraId="2B8AD5E3" w14:textId="77777777" w:rsidR="00DC09A0" w:rsidRPr="00CA2B21" w:rsidRDefault="0086364D">
      <w:pPr>
        <w:widowControl w:val="0"/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Stavba vozovek – Kryty z dlažeb a dílců</w:t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  <w:t>ČSN 73 6131</w:t>
      </w:r>
    </w:p>
    <w:p w14:paraId="2B8AD5E4" w14:textId="77777777" w:rsidR="00DC09A0" w:rsidRPr="001511FA" w:rsidRDefault="00DC09A0">
      <w:pPr>
        <w:jc w:val="both"/>
        <w:rPr>
          <w:b/>
          <w:sz w:val="24"/>
          <w:highlight w:val="yellow"/>
        </w:rPr>
      </w:pPr>
    </w:p>
    <w:p w14:paraId="2B8AD5E5" w14:textId="77777777" w:rsidR="00DC09A0" w:rsidRPr="00CA2B21" w:rsidRDefault="0086364D">
      <w:pPr>
        <w:pStyle w:val="Nadpis1"/>
        <w:numPr>
          <w:ilvl w:val="0"/>
          <w:numId w:val="3"/>
        </w:numPr>
      </w:pPr>
      <w:bookmarkStart w:id="66" w:name="_Toc523989830"/>
      <w:bookmarkStart w:id="67" w:name="_Toc313890451"/>
      <w:bookmarkStart w:id="68" w:name="_Toc380392843"/>
      <w:r w:rsidRPr="00CA2B21">
        <w:t>Odpady vzniklé při realizaci stavby</w:t>
      </w:r>
      <w:bookmarkEnd w:id="66"/>
      <w:bookmarkEnd w:id="67"/>
      <w:bookmarkEnd w:id="68"/>
      <w:r w:rsidRPr="00CA2B21">
        <w:t xml:space="preserve"> </w:t>
      </w:r>
    </w:p>
    <w:p w14:paraId="2B8AD5E6" w14:textId="77777777" w:rsidR="00DC09A0" w:rsidRPr="00CA2B21" w:rsidRDefault="00DC09A0">
      <w:pPr>
        <w:ind w:firstLine="0"/>
        <w:jc w:val="both"/>
        <w:rPr>
          <w:rFonts w:ascii="Calibri" w:hAnsi="Calibri" w:cs="Calibri"/>
          <w:sz w:val="20"/>
        </w:rPr>
      </w:pPr>
    </w:p>
    <w:p w14:paraId="2B8AD5E7" w14:textId="77777777" w:rsidR="00DC09A0" w:rsidRPr="00CA2B21" w:rsidRDefault="0086364D">
      <w:pPr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V souvislosti se vzrůstajícím významem ochrany životního prostředí je nutné se vzniklým odpadem nakládat dle níže uvedeného textu:</w:t>
      </w:r>
    </w:p>
    <w:p w14:paraId="2B8AD5E8" w14:textId="77777777" w:rsidR="00DC09A0" w:rsidRPr="00CA2B21" w:rsidRDefault="00DC09A0">
      <w:pPr>
        <w:ind w:firstLine="0"/>
        <w:jc w:val="both"/>
        <w:rPr>
          <w:rFonts w:ascii="Calibri" w:hAnsi="Calibri" w:cs="Calibri"/>
          <w:sz w:val="20"/>
        </w:rPr>
      </w:pPr>
    </w:p>
    <w:p w14:paraId="2B8AD5E9" w14:textId="77777777" w:rsidR="00DC09A0" w:rsidRPr="00CA2B21" w:rsidRDefault="0086364D">
      <w:pPr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Nakládání s odpady musí odpovídat následujícím předpisům:</w:t>
      </w:r>
    </w:p>
    <w:p w14:paraId="2B8AD5EA" w14:textId="3F7A61CB" w:rsidR="00DC09A0" w:rsidRPr="0056449E" w:rsidRDefault="0086364D" w:rsidP="00AD0682">
      <w:pPr>
        <w:numPr>
          <w:ilvl w:val="0"/>
          <w:numId w:val="5"/>
        </w:numPr>
        <w:ind w:firstLine="0"/>
        <w:jc w:val="both"/>
        <w:rPr>
          <w:rFonts w:ascii="Calibri" w:hAnsi="Calibri" w:cs="Calibri"/>
          <w:sz w:val="20"/>
        </w:rPr>
      </w:pPr>
      <w:proofErr w:type="gramStart"/>
      <w:r w:rsidRPr="0056449E">
        <w:rPr>
          <w:rFonts w:ascii="Calibri" w:hAnsi="Calibri" w:cs="Calibri"/>
          <w:sz w:val="20"/>
        </w:rPr>
        <w:lastRenderedPageBreak/>
        <w:t xml:space="preserve">zákon </w:t>
      </w:r>
      <w:r w:rsidR="0056449E" w:rsidRPr="0056449E">
        <w:rPr>
          <w:rFonts w:ascii="Calibri" w:hAnsi="Calibri" w:cs="Calibri"/>
          <w:sz w:val="20"/>
        </w:rPr>
        <w:t> č.</w:t>
      </w:r>
      <w:proofErr w:type="gramEnd"/>
      <w:r w:rsidR="0056449E" w:rsidRPr="0056449E">
        <w:rPr>
          <w:rFonts w:ascii="Calibri" w:hAnsi="Calibri" w:cs="Calibri"/>
          <w:sz w:val="20"/>
        </w:rPr>
        <w:t xml:space="preserve"> 541/2020 Sb.</w:t>
      </w:r>
      <w:r w:rsidRPr="0056449E">
        <w:rPr>
          <w:rFonts w:ascii="Calibri" w:hAnsi="Calibri" w:cs="Calibri"/>
          <w:sz w:val="20"/>
        </w:rPr>
        <w:t>, Zákon o odpadech</w:t>
      </w:r>
    </w:p>
    <w:p w14:paraId="2B8AD5EB" w14:textId="54ACA02E" w:rsidR="00DC09A0" w:rsidRPr="00CA2B21" w:rsidRDefault="0086364D">
      <w:pPr>
        <w:numPr>
          <w:ilvl w:val="0"/>
          <w:numId w:val="5"/>
        </w:numPr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Katalog odpadů</w:t>
      </w:r>
    </w:p>
    <w:p w14:paraId="2B8AD5EC" w14:textId="008FBC87" w:rsidR="00DC09A0" w:rsidRPr="00CA2B21" w:rsidRDefault="0086364D">
      <w:pPr>
        <w:numPr>
          <w:ilvl w:val="0"/>
          <w:numId w:val="5"/>
        </w:numPr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Vyhláška o podrobnostech nakládání s odpady</w:t>
      </w:r>
    </w:p>
    <w:p w14:paraId="2B8AD5ED" w14:textId="77777777" w:rsidR="00DC09A0" w:rsidRPr="00CA2B21" w:rsidRDefault="00DC09A0">
      <w:pPr>
        <w:ind w:firstLine="0"/>
        <w:jc w:val="both"/>
        <w:rPr>
          <w:rFonts w:ascii="Calibri" w:hAnsi="Calibri" w:cs="Calibri"/>
          <w:sz w:val="20"/>
        </w:rPr>
      </w:pPr>
    </w:p>
    <w:p w14:paraId="2B8AD5EE" w14:textId="77777777" w:rsidR="00DC09A0" w:rsidRPr="00CA2B21" w:rsidRDefault="0086364D">
      <w:pPr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Při stavebních pracích se mohou vyskytnout ještě další zde neuvedené odpady, které souvisí s technologií zhotovení stavby vybraným zhotovitelem prací. Ve smlouvě investora a zhotovitele na dodávku stavebních prací musí být zakotvena povinnost zhotovitele likvidovat odpady, vznikající jeho činností.</w:t>
      </w:r>
    </w:p>
    <w:p w14:paraId="2B8AD5EF" w14:textId="77777777" w:rsidR="00DC09A0" w:rsidRDefault="0086364D">
      <w:pPr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Zhotovitel díla musí během stavebních prací zajistit kontrolu práce a údržby stavebních mechanismů s tím, že pokud dojde k úniku ropných látek do zeminy, je nutné kontaminovanou zeminu ihned vytěžit a uložit do nepropustné nádoby příp. kontejneru, vyvést na příslušnou skládku nebo do spalovny. O vzniklých odpadech musí zhotovitel stavby vést evidenci, aby bylo možno při kolaudaci provést vyhodnocení.</w:t>
      </w:r>
    </w:p>
    <w:p w14:paraId="2B8AD5F0" w14:textId="77777777" w:rsidR="00DC09A0" w:rsidRDefault="00DC09A0">
      <w:pPr>
        <w:ind w:firstLine="0"/>
      </w:pPr>
    </w:p>
    <w:p w14:paraId="2B8AD5F1" w14:textId="77777777" w:rsidR="00DC09A0" w:rsidRDefault="00DC09A0">
      <w:pPr>
        <w:tabs>
          <w:tab w:val="left" w:pos="2268"/>
        </w:tabs>
      </w:pPr>
    </w:p>
    <w:sectPr w:rsidR="00DC09A0">
      <w:footerReference w:type="default" r:id="rId14"/>
      <w:pgSz w:w="11906" w:h="16838"/>
      <w:pgMar w:top="1418" w:right="1134" w:bottom="1276" w:left="1134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5D12" w14:textId="77777777" w:rsidR="009E4336" w:rsidRDefault="009E4336">
      <w:r>
        <w:separator/>
      </w:r>
    </w:p>
  </w:endnote>
  <w:endnote w:type="continuationSeparator" w:id="0">
    <w:p w14:paraId="0DFFF564" w14:textId="77777777" w:rsidR="009E4336" w:rsidRDefault="009E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D5F2" w14:textId="77777777" w:rsidR="00DC09A0" w:rsidRDefault="0086364D">
    <w:pPr>
      <w:pStyle w:val="Zpat"/>
      <w:pBdr>
        <w:top w:val="single" w:sz="4" w:space="1" w:color="000000"/>
      </w:pBdr>
      <w:jc w:val="center"/>
    </w:pPr>
    <w:r>
      <w:rPr>
        <w:rFonts w:cs="Arial"/>
        <w:szCs w:val="20"/>
      </w:rPr>
      <w:t xml:space="preserve">Strana </w:t>
    </w:r>
    <w:r>
      <w:rPr>
        <w:rFonts w:cs="Arial"/>
        <w:szCs w:val="20"/>
      </w:rPr>
      <w:fldChar w:fldCharType="begin"/>
    </w:r>
    <w:r>
      <w:rPr>
        <w:rFonts w:cs="Arial"/>
        <w:szCs w:val="20"/>
      </w:rPr>
      <w:instrText>PAGE</w:instrText>
    </w:r>
    <w:r>
      <w:rPr>
        <w:rFonts w:cs="Arial"/>
        <w:szCs w:val="20"/>
      </w:rPr>
      <w:fldChar w:fldCharType="separate"/>
    </w:r>
    <w:r>
      <w:rPr>
        <w:rFonts w:cs="Arial"/>
        <w:szCs w:val="20"/>
      </w:rPr>
      <w:t>4</w:t>
    </w:r>
    <w:r>
      <w:rPr>
        <w:rFonts w:cs="Arial"/>
        <w:szCs w:val="20"/>
      </w:rPr>
      <w:fldChar w:fldCharType="end"/>
    </w:r>
    <w:r>
      <w:rPr>
        <w:rFonts w:cs="Arial"/>
        <w:szCs w:val="20"/>
      </w:rPr>
      <w:t xml:space="preserve"> (celkem </w:t>
    </w:r>
    <w:r>
      <w:rPr>
        <w:rFonts w:cs="Arial"/>
        <w:szCs w:val="20"/>
      </w:rPr>
      <w:fldChar w:fldCharType="begin"/>
    </w:r>
    <w:r>
      <w:rPr>
        <w:rFonts w:cs="Arial"/>
        <w:szCs w:val="20"/>
      </w:rPr>
      <w:instrText>NUMPAGES</w:instrText>
    </w:r>
    <w:r>
      <w:rPr>
        <w:rFonts w:cs="Arial"/>
        <w:szCs w:val="20"/>
      </w:rPr>
      <w:fldChar w:fldCharType="separate"/>
    </w:r>
    <w:r>
      <w:rPr>
        <w:rFonts w:cs="Arial"/>
        <w:szCs w:val="20"/>
      </w:rPr>
      <w:t>4</w:t>
    </w:r>
    <w:r>
      <w:rPr>
        <w:rFonts w:cs="Arial"/>
        <w:szCs w:val="20"/>
      </w:rPr>
      <w:fldChar w:fldCharType="end"/>
    </w:r>
    <w:r>
      <w:rPr>
        <w:rFonts w:cs="Arial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BB48" w14:textId="77777777" w:rsidR="009E4336" w:rsidRDefault="009E4336">
      <w:r>
        <w:separator/>
      </w:r>
    </w:p>
  </w:footnote>
  <w:footnote w:type="continuationSeparator" w:id="0">
    <w:p w14:paraId="7D2D4A3B" w14:textId="77777777" w:rsidR="009E4336" w:rsidRDefault="009E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672A"/>
    <w:multiLevelType w:val="multilevel"/>
    <w:tmpl w:val="218EC0C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dpis5"/>
      <w:lvlText w:val="%1.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333A8C"/>
    <w:multiLevelType w:val="multilevel"/>
    <w:tmpl w:val="8B387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A72BD2"/>
    <w:multiLevelType w:val="multilevel"/>
    <w:tmpl w:val="BDA4F5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19E0826"/>
    <w:multiLevelType w:val="multilevel"/>
    <w:tmpl w:val="A170BC7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0B6BC6"/>
    <w:multiLevelType w:val="multilevel"/>
    <w:tmpl w:val="BF76C9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05637994">
    <w:abstractNumId w:val="0"/>
  </w:num>
  <w:num w:numId="2" w16cid:durableId="1801797187">
    <w:abstractNumId w:val="4"/>
  </w:num>
  <w:num w:numId="3" w16cid:durableId="1696231240">
    <w:abstractNumId w:val="1"/>
  </w:num>
  <w:num w:numId="4" w16cid:durableId="318314905">
    <w:abstractNumId w:val="2"/>
  </w:num>
  <w:num w:numId="5" w16cid:durableId="640036767">
    <w:abstractNumId w:val="3"/>
  </w:num>
  <w:num w:numId="6" w16cid:durableId="48485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0"/>
    <w:rsid w:val="000069C1"/>
    <w:rsid w:val="00013C9A"/>
    <w:rsid w:val="00034D5B"/>
    <w:rsid w:val="00037501"/>
    <w:rsid w:val="000C183A"/>
    <w:rsid w:val="000D54CA"/>
    <w:rsid w:val="000F250D"/>
    <w:rsid w:val="001511FA"/>
    <w:rsid w:val="00195365"/>
    <w:rsid w:val="001C124A"/>
    <w:rsid w:val="001E4718"/>
    <w:rsid w:val="00254E9B"/>
    <w:rsid w:val="00260E99"/>
    <w:rsid w:val="0026245B"/>
    <w:rsid w:val="0027628F"/>
    <w:rsid w:val="00290E6C"/>
    <w:rsid w:val="00292239"/>
    <w:rsid w:val="00327B27"/>
    <w:rsid w:val="003604AA"/>
    <w:rsid w:val="0037032E"/>
    <w:rsid w:val="003C1848"/>
    <w:rsid w:val="00474AE6"/>
    <w:rsid w:val="00490803"/>
    <w:rsid w:val="005425DF"/>
    <w:rsid w:val="00551493"/>
    <w:rsid w:val="0056449E"/>
    <w:rsid w:val="005708C4"/>
    <w:rsid w:val="00573925"/>
    <w:rsid w:val="005920C9"/>
    <w:rsid w:val="005A31C0"/>
    <w:rsid w:val="005B4695"/>
    <w:rsid w:val="005D2675"/>
    <w:rsid w:val="00641575"/>
    <w:rsid w:val="0064335F"/>
    <w:rsid w:val="0065015A"/>
    <w:rsid w:val="00656FD9"/>
    <w:rsid w:val="006872B3"/>
    <w:rsid w:val="006B726C"/>
    <w:rsid w:val="006C5B23"/>
    <w:rsid w:val="006F13DF"/>
    <w:rsid w:val="00706090"/>
    <w:rsid w:val="00734C98"/>
    <w:rsid w:val="00735951"/>
    <w:rsid w:val="00773528"/>
    <w:rsid w:val="0078232B"/>
    <w:rsid w:val="00791B58"/>
    <w:rsid w:val="007D440B"/>
    <w:rsid w:val="007E3336"/>
    <w:rsid w:val="0081063A"/>
    <w:rsid w:val="00814C77"/>
    <w:rsid w:val="008165EC"/>
    <w:rsid w:val="00847A52"/>
    <w:rsid w:val="0086364D"/>
    <w:rsid w:val="008B12CB"/>
    <w:rsid w:val="008B21EA"/>
    <w:rsid w:val="008D2968"/>
    <w:rsid w:val="008E54D0"/>
    <w:rsid w:val="00903554"/>
    <w:rsid w:val="00911275"/>
    <w:rsid w:val="00917347"/>
    <w:rsid w:val="00946C06"/>
    <w:rsid w:val="00955CF3"/>
    <w:rsid w:val="009614CC"/>
    <w:rsid w:val="009669C4"/>
    <w:rsid w:val="009B62A4"/>
    <w:rsid w:val="009E4336"/>
    <w:rsid w:val="00A16D57"/>
    <w:rsid w:val="00A42117"/>
    <w:rsid w:val="00AA200B"/>
    <w:rsid w:val="00AB628C"/>
    <w:rsid w:val="00AC42D4"/>
    <w:rsid w:val="00AE489E"/>
    <w:rsid w:val="00AF0041"/>
    <w:rsid w:val="00AF6A97"/>
    <w:rsid w:val="00B25174"/>
    <w:rsid w:val="00B2679D"/>
    <w:rsid w:val="00B83E3C"/>
    <w:rsid w:val="00B9073D"/>
    <w:rsid w:val="00BA00D5"/>
    <w:rsid w:val="00BA226D"/>
    <w:rsid w:val="00BE2758"/>
    <w:rsid w:val="00BE76DA"/>
    <w:rsid w:val="00C42566"/>
    <w:rsid w:val="00C462F1"/>
    <w:rsid w:val="00C465F6"/>
    <w:rsid w:val="00C50941"/>
    <w:rsid w:val="00C77ADC"/>
    <w:rsid w:val="00CA2B21"/>
    <w:rsid w:val="00CF489E"/>
    <w:rsid w:val="00CF78E5"/>
    <w:rsid w:val="00D51A50"/>
    <w:rsid w:val="00DA5DFF"/>
    <w:rsid w:val="00DB7637"/>
    <w:rsid w:val="00DC09A0"/>
    <w:rsid w:val="00DD4690"/>
    <w:rsid w:val="00DE5DE1"/>
    <w:rsid w:val="00E03E91"/>
    <w:rsid w:val="00E07BAB"/>
    <w:rsid w:val="00E82F3B"/>
    <w:rsid w:val="00E85E38"/>
    <w:rsid w:val="00EA4343"/>
    <w:rsid w:val="00EC4E7E"/>
    <w:rsid w:val="00ED0631"/>
    <w:rsid w:val="00F04178"/>
    <w:rsid w:val="00F060E5"/>
    <w:rsid w:val="00F30F87"/>
    <w:rsid w:val="00F518AF"/>
    <w:rsid w:val="00F664AD"/>
    <w:rsid w:val="00F779E8"/>
    <w:rsid w:val="00F80C20"/>
    <w:rsid w:val="00F86873"/>
    <w:rsid w:val="00F95A3B"/>
    <w:rsid w:val="00FC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D558"/>
  <w15:docId w15:val="{8BDCB50C-DE46-4944-A7DE-60422964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713B"/>
    <w:pPr>
      <w:ind w:firstLine="567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adpis2"/>
    <w:qFormat/>
    <w:rsid w:val="00AC2B02"/>
    <w:pPr>
      <w:keepNext/>
      <w:numPr>
        <w:numId w:val="1"/>
      </w:numPr>
      <w:tabs>
        <w:tab w:val="left" w:pos="567"/>
      </w:tabs>
      <w:spacing w:before="60"/>
      <w:outlineLvl w:val="0"/>
    </w:pPr>
    <w:rPr>
      <w:rFonts w:cs="Arial"/>
      <w:b/>
      <w:bCs/>
      <w:kern w:val="2"/>
      <w:sz w:val="24"/>
      <w:szCs w:val="32"/>
      <w:u w:val="single"/>
    </w:rPr>
  </w:style>
  <w:style w:type="paragraph" w:styleId="Nadpis2">
    <w:name w:val="heading 2"/>
    <w:basedOn w:val="Normln"/>
    <w:next w:val="Normln"/>
    <w:qFormat/>
    <w:rsid w:val="00495144"/>
    <w:pPr>
      <w:keepNext/>
      <w:numPr>
        <w:ilvl w:val="1"/>
        <w:numId w:val="1"/>
      </w:numPr>
      <w:spacing w:before="60"/>
      <w:outlineLvl w:val="1"/>
    </w:pPr>
    <w:rPr>
      <w:rFonts w:cs="Arial"/>
      <w:b/>
      <w:bCs/>
      <w:iCs/>
      <w:szCs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495144"/>
    <w:pPr>
      <w:keepNext/>
      <w:numPr>
        <w:ilvl w:val="2"/>
        <w:numId w:val="1"/>
      </w:numPr>
      <w:tabs>
        <w:tab w:val="clear" w:pos="720"/>
        <w:tab w:val="left" w:pos="567"/>
      </w:tabs>
      <w:spacing w:before="60"/>
      <w:ind w:left="567" w:firstLine="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386BC4"/>
    <w:pPr>
      <w:keepNext/>
      <w:tabs>
        <w:tab w:val="left" w:pos="567"/>
      </w:tabs>
      <w:spacing w:before="60"/>
      <w:ind w:left="360" w:hanging="360"/>
      <w:outlineLvl w:val="3"/>
    </w:pPr>
    <w:rPr>
      <w:bCs/>
      <w:szCs w:val="28"/>
      <w:u w:val="single"/>
    </w:rPr>
  </w:style>
  <w:style w:type="paragraph" w:styleId="Nadpis5">
    <w:name w:val="heading 5"/>
    <w:basedOn w:val="Normln"/>
    <w:next w:val="Normln"/>
    <w:qFormat/>
    <w:rsid w:val="0028614E"/>
    <w:pPr>
      <w:numPr>
        <w:ilvl w:val="4"/>
        <w:numId w:val="1"/>
      </w:numPr>
      <w:tabs>
        <w:tab w:val="left" w:pos="567"/>
      </w:tabs>
      <w:spacing w:before="60"/>
      <w:ind w:left="567" w:firstLine="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28614E"/>
    <w:pPr>
      <w:numPr>
        <w:ilvl w:val="5"/>
        <w:numId w:val="1"/>
      </w:numPr>
      <w:tabs>
        <w:tab w:val="left" w:pos="567"/>
      </w:tabs>
      <w:spacing w:before="60"/>
      <w:ind w:left="1134" w:firstLine="0"/>
      <w:outlineLvl w:val="5"/>
    </w:pPr>
    <w:rPr>
      <w:bCs/>
      <w:sz w:val="20"/>
      <w:szCs w:val="22"/>
      <w:u w:val="single"/>
    </w:rPr>
  </w:style>
  <w:style w:type="paragraph" w:styleId="Nadpis7">
    <w:name w:val="heading 7"/>
    <w:basedOn w:val="Normln"/>
    <w:next w:val="Normln"/>
    <w:qFormat/>
    <w:rsid w:val="0028614E"/>
    <w:pPr>
      <w:numPr>
        <w:ilvl w:val="6"/>
        <w:numId w:val="1"/>
      </w:numPr>
      <w:tabs>
        <w:tab w:val="left" w:pos="567"/>
      </w:tabs>
      <w:spacing w:before="60"/>
      <w:ind w:left="1134" w:firstLine="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28614E"/>
    <w:pPr>
      <w:numPr>
        <w:ilvl w:val="7"/>
        <w:numId w:val="1"/>
      </w:numPr>
      <w:tabs>
        <w:tab w:val="left" w:pos="567"/>
      </w:tabs>
      <w:spacing w:before="60"/>
      <w:ind w:left="1134" w:firstLine="0"/>
      <w:outlineLvl w:val="7"/>
    </w:pPr>
    <w:rPr>
      <w:i/>
      <w:iCs/>
      <w:sz w:val="20"/>
    </w:rPr>
  </w:style>
  <w:style w:type="paragraph" w:styleId="Nadpis9">
    <w:name w:val="heading 9"/>
    <w:basedOn w:val="Normln"/>
    <w:next w:val="Normln"/>
    <w:qFormat/>
    <w:rsid w:val="0028614E"/>
    <w:pPr>
      <w:numPr>
        <w:ilvl w:val="8"/>
        <w:numId w:val="1"/>
      </w:numPr>
      <w:tabs>
        <w:tab w:val="left" w:pos="567"/>
      </w:tabs>
      <w:spacing w:before="60"/>
      <w:ind w:left="1701" w:firstLine="0"/>
      <w:outlineLvl w:val="8"/>
    </w:pPr>
    <w:rPr>
      <w:rFonts w:cs="Arial"/>
      <w:i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qFormat/>
    <w:rsid w:val="00EB1134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qFormat/>
    <w:rsid w:val="00386BC4"/>
    <w:rPr>
      <w:rFonts w:ascii="Arial" w:hAnsi="Arial"/>
      <w:bCs/>
      <w:sz w:val="22"/>
      <w:szCs w:val="28"/>
      <w:u w:val="single"/>
    </w:rPr>
  </w:style>
  <w:style w:type="character" w:customStyle="1" w:styleId="Nadpis3Char">
    <w:name w:val="Nadpis 3 Char"/>
    <w:link w:val="Nadpis3"/>
    <w:qFormat/>
    <w:rsid w:val="00533F13"/>
    <w:rPr>
      <w:rFonts w:ascii="Arial" w:hAnsi="Arial" w:cs="Arial"/>
      <w:b/>
      <w:bCs/>
      <w:sz w:val="22"/>
      <w:szCs w:val="26"/>
    </w:rPr>
  </w:style>
  <w:style w:type="character" w:customStyle="1" w:styleId="Internetovodkaz">
    <w:name w:val="Internetový odkaz"/>
    <w:uiPriority w:val="99"/>
    <w:unhideWhenUsed/>
    <w:rsid w:val="001D0D57"/>
    <w:rPr>
      <w:color w:val="0000FF"/>
      <w:u w:val="single"/>
    </w:rPr>
  </w:style>
  <w:style w:type="character" w:customStyle="1" w:styleId="ZhlavChar">
    <w:name w:val="Záhlaví Char"/>
    <w:link w:val="Zhlav"/>
    <w:qFormat/>
    <w:rsid w:val="00D812DB"/>
    <w:rPr>
      <w:rFonts w:ascii="Arial" w:hAnsi="Arial"/>
      <w:szCs w:val="24"/>
    </w:rPr>
  </w:style>
  <w:style w:type="character" w:styleId="Odkaznakoment">
    <w:name w:val="annotation reference"/>
    <w:qFormat/>
    <w:rsid w:val="00785496"/>
    <w:rPr>
      <w:sz w:val="16"/>
      <w:szCs w:val="16"/>
    </w:rPr>
  </w:style>
  <w:style w:type="character" w:customStyle="1" w:styleId="TextkomenteChar">
    <w:name w:val="Text komentáře Char"/>
    <w:link w:val="Textkomente"/>
    <w:qFormat/>
    <w:rsid w:val="00785496"/>
    <w:rPr>
      <w:rFonts w:ascii="Arial" w:hAnsi="Arial"/>
    </w:rPr>
  </w:style>
  <w:style w:type="character" w:customStyle="1" w:styleId="PedmtkomenteChar">
    <w:name w:val="Předmět komentáře Char"/>
    <w:link w:val="Pedmtkomente"/>
    <w:qFormat/>
    <w:rsid w:val="00785496"/>
    <w:rPr>
      <w:rFonts w:ascii="Arial" w:hAnsi="Arial"/>
      <w:b/>
      <w:bCs/>
    </w:rPr>
  </w:style>
  <w:style w:type="character" w:customStyle="1" w:styleId="PodnadpisChar">
    <w:name w:val="Podnadpis Char"/>
    <w:link w:val="Podnadpis"/>
    <w:qFormat/>
    <w:rsid w:val="00F26819"/>
    <w:rPr>
      <w:sz w:val="24"/>
    </w:rPr>
  </w:style>
  <w:style w:type="character" w:customStyle="1" w:styleId="NzevChar">
    <w:name w:val="Název Char"/>
    <w:link w:val="Nzev"/>
    <w:qFormat/>
    <w:rsid w:val="001A6A5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Char">
    <w:name w:val="Základní text Char"/>
    <w:link w:val="Zkladntext"/>
    <w:qFormat/>
    <w:rsid w:val="00DD792F"/>
    <w:rPr>
      <w:sz w:val="24"/>
    </w:rPr>
  </w:style>
  <w:style w:type="character" w:customStyle="1" w:styleId="ZkladntextodsazenChar">
    <w:name w:val="Základní text odsazený Char"/>
    <w:link w:val="Zkladntextodsazen"/>
    <w:qFormat/>
    <w:rsid w:val="00DD792F"/>
    <w:rPr>
      <w:rFonts w:ascii="Arial" w:hAnsi="Arial"/>
      <w:sz w:val="22"/>
      <w:szCs w:val="24"/>
    </w:rPr>
  </w:style>
  <w:style w:type="character" w:customStyle="1" w:styleId="HEL11Char">
    <w:name w:val="HEL1.1 Char"/>
    <w:link w:val="HEL11"/>
    <w:qFormat/>
    <w:locked/>
    <w:rsid w:val="00DD792F"/>
    <w:rPr>
      <w:rFonts w:ascii="Calibri" w:hAnsi="Calibri"/>
      <w:b/>
      <w:sz w:val="24"/>
      <w:szCs w:val="24"/>
    </w:rPr>
  </w:style>
  <w:style w:type="character" w:customStyle="1" w:styleId="HEL12Char">
    <w:name w:val="HEL1.2 Char"/>
    <w:link w:val="HEL12"/>
    <w:qFormat/>
    <w:locked/>
    <w:rsid w:val="00DD792F"/>
    <w:rPr>
      <w:rFonts w:ascii="Calibri" w:hAnsi="Calibri"/>
      <w:b/>
      <w:szCs w:val="22"/>
    </w:rPr>
  </w:style>
  <w:style w:type="character" w:customStyle="1" w:styleId="PMNormalIndentChar">
    <w:name w:val="PM_NormalIndent Char"/>
    <w:link w:val="PMNormalIndent"/>
    <w:qFormat/>
    <w:rsid w:val="001B4062"/>
    <w:rPr>
      <w:rFonts w:ascii="Arial" w:hAnsi="Arial"/>
      <w:szCs w:val="24"/>
      <w:lang w:val="fr-FR" w:eastAsia="en-GB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DD792F"/>
    <w:pPr>
      <w:spacing w:line="360" w:lineRule="auto"/>
      <w:ind w:firstLine="0"/>
      <w:jc w:val="both"/>
    </w:pPr>
    <w:rPr>
      <w:rFonts w:ascii="Times New Roman" w:hAnsi="Times New Roman"/>
      <w:sz w:val="24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495144"/>
    <w:pPr>
      <w:tabs>
        <w:tab w:val="center" w:pos="4536"/>
        <w:tab w:val="right" w:pos="9072"/>
      </w:tabs>
      <w:ind w:firstLine="0"/>
    </w:pPr>
    <w:rPr>
      <w:sz w:val="20"/>
    </w:rPr>
  </w:style>
  <w:style w:type="paragraph" w:styleId="Zpat">
    <w:name w:val="footer"/>
    <w:basedOn w:val="Normln"/>
    <w:rsid w:val="00495144"/>
    <w:pPr>
      <w:tabs>
        <w:tab w:val="center" w:pos="4536"/>
        <w:tab w:val="right" w:pos="9072"/>
      </w:tabs>
      <w:ind w:firstLine="0"/>
    </w:pPr>
    <w:rPr>
      <w:sz w:val="20"/>
    </w:rPr>
  </w:style>
  <w:style w:type="paragraph" w:styleId="Obsah1">
    <w:name w:val="toc 1"/>
    <w:basedOn w:val="Normln"/>
    <w:next w:val="Normln"/>
    <w:autoRedefine/>
    <w:uiPriority w:val="39"/>
    <w:rsid w:val="00D17C8A"/>
    <w:pPr>
      <w:spacing w:before="60"/>
      <w:ind w:firstLine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rsid w:val="00D17C8A"/>
    <w:pPr>
      <w:spacing w:before="60"/>
      <w:ind w:left="198" w:firstLine="0"/>
    </w:pPr>
    <w:rPr>
      <w:b/>
    </w:rPr>
  </w:style>
  <w:style w:type="paragraph" w:styleId="Obsah3">
    <w:name w:val="toc 3"/>
    <w:basedOn w:val="Normln"/>
    <w:next w:val="Normln"/>
    <w:autoRedefine/>
    <w:uiPriority w:val="39"/>
    <w:rsid w:val="00D17C8A"/>
    <w:pPr>
      <w:spacing w:before="60"/>
      <w:ind w:left="397" w:firstLine="0"/>
    </w:pPr>
    <w:rPr>
      <w:caps/>
    </w:rPr>
  </w:style>
  <w:style w:type="paragraph" w:styleId="Obsah4">
    <w:name w:val="toc 4"/>
    <w:basedOn w:val="Normln"/>
    <w:next w:val="Normln"/>
    <w:autoRedefine/>
    <w:uiPriority w:val="39"/>
    <w:rsid w:val="00D17C8A"/>
    <w:pPr>
      <w:spacing w:before="60"/>
      <w:ind w:left="595" w:firstLine="0"/>
    </w:pPr>
  </w:style>
  <w:style w:type="paragraph" w:styleId="Obsah5">
    <w:name w:val="toc 5"/>
    <w:basedOn w:val="Normln"/>
    <w:next w:val="Normln"/>
    <w:autoRedefine/>
    <w:semiHidden/>
    <w:rsid w:val="00D17C8A"/>
    <w:pPr>
      <w:spacing w:before="60"/>
      <w:ind w:left="794" w:firstLine="0"/>
    </w:pPr>
    <w:rPr>
      <w:i/>
      <w:caps/>
    </w:rPr>
  </w:style>
  <w:style w:type="paragraph" w:styleId="Obsah6">
    <w:name w:val="toc 6"/>
    <w:basedOn w:val="Normln"/>
    <w:next w:val="Normln"/>
    <w:autoRedefine/>
    <w:semiHidden/>
    <w:rsid w:val="00D17C8A"/>
    <w:pPr>
      <w:spacing w:before="60"/>
      <w:ind w:left="992" w:firstLine="0"/>
    </w:pPr>
    <w:rPr>
      <w:i/>
    </w:rPr>
  </w:style>
  <w:style w:type="paragraph" w:styleId="Obsah7">
    <w:name w:val="toc 7"/>
    <w:basedOn w:val="Normln"/>
    <w:next w:val="Normln"/>
    <w:autoRedefine/>
    <w:semiHidden/>
    <w:rsid w:val="00D17C8A"/>
    <w:pPr>
      <w:spacing w:before="60"/>
      <w:ind w:left="1191" w:firstLine="0"/>
    </w:pPr>
    <w:rPr>
      <w:sz w:val="20"/>
    </w:rPr>
  </w:style>
  <w:style w:type="paragraph" w:styleId="Obsah8">
    <w:name w:val="toc 8"/>
    <w:basedOn w:val="Normln"/>
    <w:next w:val="Normln"/>
    <w:autoRedefine/>
    <w:semiHidden/>
    <w:rsid w:val="00D17C8A"/>
    <w:pPr>
      <w:ind w:left="1389" w:firstLine="0"/>
    </w:pPr>
    <w:rPr>
      <w:i/>
      <w:sz w:val="20"/>
    </w:rPr>
  </w:style>
  <w:style w:type="paragraph" w:styleId="Obsah9">
    <w:name w:val="toc 9"/>
    <w:basedOn w:val="Normln"/>
    <w:next w:val="Normln"/>
    <w:autoRedefine/>
    <w:semiHidden/>
    <w:rsid w:val="00D17C8A"/>
    <w:pPr>
      <w:ind w:left="1588" w:firstLine="0"/>
    </w:pPr>
    <w:rPr>
      <w:i/>
      <w:sz w:val="20"/>
    </w:rPr>
  </w:style>
  <w:style w:type="paragraph" w:styleId="Textbubliny">
    <w:name w:val="Balloon Text"/>
    <w:basedOn w:val="Normln"/>
    <w:link w:val="TextbublinyChar"/>
    <w:qFormat/>
    <w:rsid w:val="00EB1134"/>
    <w:rPr>
      <w:rFonts w:ascii="Tahoma" w:hAnsi="Tahoma"/>
      <w:sz w:val="16"/>
      <w:szCs w:val="16"/>
    </w:rPr>
  </w:style>
  <w:style w:type="paragraph" w:customStyle="1" w:styleId="Normlnprvnodsazen">
    <w:name w:val="Normální + první odsazený"/>
    <w:basedOn w:val="Normln"/>
    <w:qFormat/>
    <w:rsid w:val="00166282"/>
    <w:pPr>
      <w:ind w:firstLine="680"/>
    </w:pPr>
    <w:rPr>
      <w:rFonts w:eastAsia="Calibri" w:cs="Arial"/>
      <w:szCs w:val="22"/>
    </w:rPr>
  </w:style>
  <w:style w:type="paragraph" w:styleId="Textkomente">
    <w:name w:val="annotation text"/>
    <w:basedOn w:val="Normln"/>
    <w:link w:val="TextkomenteChar"/>
    <w:qFormat/>
    <w:rsid w:val="007854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785496"/>
    <w:rPr>
      <w:b/>
      <w:bCs/>
    </w:rPr>
  </w:style>
  <w:style w:type="paragraph" w:styleId="Podnadpis">
    <w:name w:val="Subtitle"/>
    <w:basedOn w:val="Normln"/>
    <w:link w:val="PodnadpisChar"/>
    <w:qFormat/>
    <w:rsid w:val="00F26819"/>
    <w:pPr>
      <w:ind w:firstLine="0"/>
    </w:pPr>
    <w:rPr>
      <w:rFonts w:ascii="Times New Roman" w:hAnsi="Times New Roman"/>
      <w:sz w:val="24"/>
      <w:szCs w:val="20"/>
    </w:rPr>
  </w:style>
  <w:style w:type="paragraph" w:styleId="Nzev">
    <w:name w:val="Title"/>
    <w:basedOn w:val="Normln"/>
    <w:next w:val="Normln"/>
    <w:link w:val="NzevChar"/>
    <w:qFormat/>
    <w:rsid w:val="001A6A50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94FAC"/>
    <w:pPr>
      <w:ind w:left="720" w:firstLine="0"/>
      <w:contextualSpacing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DD792F"/>
    <w:pPr>
      <w:spacing w:after="120"/>
      <w:ind w:left="283"/>
    </w:pPr>
  </w:style>
  <w:style w:type="paragraph" w:customStyle="1" w:styleId="HEL11">
    <w:name w:val="HEL1.1"/>
    <w:basedOn w:val="Normln"/>
    <w:link w:val="HEL11Char"/>
    <w:qFormat/>
    <w:rsid w:val="00DD792F"/>
    <w:pPr>
      <w:ind w:firstLine="0"/>
      <w:jc w:val="both"/>
    </w:pPr>
    <w:rPr>
      <w:rFonts w:ascii="Calibri" w:hAnsi="Calibri"/>
      <w:b/>
      <w:sz w:val="24"/>
    </w:rPr>
  </w:style>
  <w:style w:type="paragraph" w:customStyle="1" w:styleId="HEL12">
    <w:name w:val="HEL1.2"/>
    <w:basedOn w:val="Normln"/>
    <w:link w:val="HEL12Char"/>
    <w:qFormat/>
    <w:rsid w:val="00DD792F"/>
    <w:pPr>
      <w:widowControl w:val="0"/>
      <w:ind w:firstLine="0"/>
      <w:jc w:val="both"/>
    </w:pPr>
    <w:rPr>
      <w:rFonts w:ascii="Calibri" w:hAnsi="Calibri"/>
      <w:b/>
      <w:sz w:val="20"/>
      <w:szCs w:val="22"/>
    </w:rPr>
  </w:style>
  <w:style w:type="paragraph" w:customStyle="1" w:styleId="PMNormalIndent">
    <w:name w:val="PM_NormalIndent"/>
    <w:basedOn w:val="Normlnodsazen"/>
    <w:link w:val="PMNormalIndentChar"/>
    <w:qFormat/>
    <w:rsid w:val="001B4062"/>
    <w:pPr>
      <w:spacing w:before="120" w:after="120"/>
      <w:ind w:left="851" w:firstLine="0"/>
    </w:pPr>
    <w:rPr>
      <w:sz w:val="20"/>
      <w:lang w:val="fr-FR" w:eastAsia="en-GB"/>
    </w:rPr>
  </w:style>
  <w:style w:type="paragraph" w:styleId="Normlnodsazen">
    <w:name w:val="Normal Indent"/>
    <w:basedOn w:val="Normln"/>
    <w:qFormat/>
    <w:rsid w:val="001B4062"/>
    <w:pPr>
      <w:ind w:left="708"/>
    </w:pPr>
  </w:style>
  <w:style w:type="paragraph" w:styleId="Normlnweb">
    <w:name w:val="Normal (Web)"/>
    <w:basedOn w:val="Normln"/>
    <w:uiPriority w:val="99"/>
    <w:unhideWhenUsed/>
    <w:qFormat/>
    <w:rsid w:val="00B04DD4"/>
    <w:pPr>
      <w:spacing w:beforeAutospacing="1" w:afterAutospacing="1"/>
      <w:ind w:firstLine="0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E35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zvraznn11">
    <w:name w:val="Světlá mřížka – zvýraznění 11"/>
    <w:basedOn w:val="Normlntabulka"/>
    <w:uiPriority w:val="62"/>
    <w:rsid w:val="00294FA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jpk.cz/TKP_1.pdf" TargetMode="External"/><Relationship Id="rId13" Type="http://schemas.openxmlformats.org/officeDocument/2006/relationships/hyperlink" Target="http://www.pjpk.cz/TKP_1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jpk.cz/TKP_10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jpk.cz/TKP_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jpk.cz/TKP_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jpk.cz/TKP_2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43FE-4DA1-49A6-AC20-1837B91A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950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EGE-montáže, spol. s r.o.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kratochvilova_01</dc:creator>
  <dc:description/>
  <cp:lastModifiedBy>Jiří Drbohlav</cp:lastModifiedBy>
  <cp:revision>106</cp:revision>
  <cp:lastPrinted>2022-09-13T11:34:00Z</cp:lastPrinted>
  <dcterms:created xsi:type="dcterms:W3CDTF">2021-01-27T10:50:00Z</dcterms:created>
  <dcterms:modified xsi:type="dcterms:W3CDTF">2024-03-10T13:13:00Z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EGE-montáže, spol. s 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