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877" w:rsidRDefault="00C16877" w:rsidP="00C16877">
      <w:pPr>
        <w:tabs>
          <w:tab w:val="left" w:pos="2670"/>
        </w:tabs>
        <w:jc w:val="center"/>
        <w:rPr>
          <w:b/>
          <w:caps/>
          <w:sz w:val="28"/>
          <w:szCs w:val="28"/>
          <w:u w:val="single"/>
        </w:rPr>
      </w:pPr>
      <w:bookmarkStart w:id="0" w:name="_GoBack"/>
      <w:r>
        <w:rPr>
          <w:b/>
          <w:caps/>
          <w:sz w:val="28"/>
          <w:szCs w:val="28"/>
          <w:u w:val="single"/>
        </w:rPr>
        <w:t xml:space="preserve">DODATEK Č. </w:t>
      </w:r>
      <w:r w:rsidR="000E1AC4">
        <w:rPr>
          <w:b/>
          <w:caps/>
          <w:sz w:val="28"/>
          <w:szCs w:val="28"/>
          <w:u w:val="single"/>
        </w:rPr>
        <w:t>2</w:t>
      </w:r>
    </w:p>
    <w:p w:rsidR="00C16877" w:rsidRPr="00A602D8" w:rsidRDefault="00C16877" w:rsidP="00C16877">
      <w:pPr>
        <w:tabs>
          <w:tab w:val="left" w:pos="2670"/>
        </w:tabs>
      </w:pPr>
      <w:r w:rsidRPr="006E241D">
        <w:rPr>
          <w:b/>
          <w:caps/>
          <w:sz w:val="28"/>
          <w:szCs w:val="28"/>
          <w:u w:val="single"/>
        </w:rPr>
        <w:t>Smlouv</w:t>
      </w:r>
      <w:r>
        <w:rPr>
          <w:b/>
          <w:caps/>
          <w:sz w:val="28"/>
          <w:szCs w:val="28"/>
          <w:u w:val="single"/>
        </w:rPr>
        <w:t>Y</w:t>
      </w:r>
      <w:r w:rsidRPr="006E241D">
        <w:rPr>
          <w:b/>
          <w:caps/>
          <w:sz w:val="28"/>
          <w:szCs w:val="28"/>
          <w:u w:val="single"/>
        </w:rPr>
        <w:t xml:space="preserve"> o nájmu a provozování vodovodů a kanalizací</w:t>
      </w:r>
    </w:p>
    <w:bookmarkEnd w:id="0"/>
    <w:p w:rsidR="00C16877" w:rsidRPr="00DF558B" w:rsidRDefault="00C16877" w:rsidP="00C16877">
      <w:pPr>
        <w:jc w:val="center"/>
        <w:rPr>
          <w:lang w:eastAsia="en-US"/>
        </w:rPr>
      </w:pPr>
      <w:r w:rsidRPr="006E241D">
        <w:rPr>
          <w:lang w:eastAsia="en-US"/>
        </w:rPr>
        <w:t>uzavřen</w:t>
      </w:r>
      <w:r>
        <w:rPr>
          <w:lang w:eastAsia="en-US"/>
        </w:rPr>
        <w:t>é</w:t>
      </w:r>
      <w:r w:rsidRPr="006E241D">
        <w:rPr>
          <w:lang w:eastAsia="en-US"/>
        </w:rPr>
        <w:t xml:space="preserve"> podle § 663 a násl. zákona č. 40/1964 Sb., občanský zákoník, ve znění pozdějších předpisů </w:t>
      </w:r>
      <w:r>
        <w:rPr>
          <w:lang w:eastAsia="en-US"/>
        </w:rPr>
        <w:br/>
      </w:r>
      <w:r w:rsidRPr="006E241D">
        <w:rPr>
          <w:lang w:eastAsia="en-US"/>
        </w:rPr>
        <w:t>a ustanovení § 8 odst. 2 Zákona o Vodovodech a Kanalizacích</w:t>
      </w:r>
    </w:p>
    <w:p w:rsidR="00C16877" w:rsidRPr="00215DE3" w:rsidRDefault="00C16877" w:rsidP="00C16877">
      <w:pPr>
        <w:pStyle w:val="Nadpis1"/>
      </w:pPr>
      <w:bookmarkStart w:id="1" w:name="_Toc269943384"/>
      <w:r>
        <w:t>SMLUVNÍ STRANY</w:t>
      </w:r>
      <w:bookmarkEnd w:id="1"/>
    </w:p>
    <w:p w:rsidR="00C16877" w:rsidRPr="00FC2DCC" w:rsidRDefault="00C16877" w:rsidP="00C16877">
      <w:pPr>
        <w:rPr>
          <w:b/>
        </w:rPr>
      </w:pPr>
      <w:r w:rsidRPr="00FC2DCC">
        <w:rPr>
          <w:b/>
        </w:rPr>
        <w:t>OBEC PSÁRY</w:t>
      </w:r>
    </w:p>
    <w:p w:rsidR="00C16877" w:rsidRDefault="00C16877" w:rsidP="00C16877">
      <w:r>
        <w:t>Pražská 137</w:t>
      </w:r>
    </w:p>
    <w:p w:rsidR="00C16877" w:rsidRDefault="00C16877" w:rsidP="00C16877">
      <w:r>
        <w:t>252 44 Psáry</w:t>
      </w:r>
    </w:p>
    <w:p w:rsidR="00C16877" w:rsidRPr="002A1DF1" w:rsidRDefault="00C16877" w:rsidP="00C16877">
      <w:r w:rsidRPr="00184098">
        <w:t xml:space="preserve"> IČ: </w:t>
      </w:r>
      <w:r w:rsidRPr="002A1DF1">
        <w:t>00241580</w:t>
      </w:r>
    </w:p>
    <w:p w:rsidR="00C16877" w:rsidRPr="00184098" w:rsidRDefault="00C16877" w:rsidP="00C16877">
      <w:r w:rsidRPr="00184098">
        <w:t xml:space="preserve">zastoupený </w:t>
      </w:r>
      <w:r>
        <w:t xml:space="preserve">Milanem Váchou - starostou obce </w:t>
      </w:r>
    </w:p>
    <w:p w:rsidR="00C16877" w:rsidRPr="00184098" w:rsidRDefault="00C16877" w:rsidP="00C16877">
      <w:r w:rsidRPr="00184098">
        <w:t>na straně jedné (dále jen „</w:t>
      </w:r>
      <w:r w:rsidRPr="00215DE3">
        <w:rPr>
          <w:b/>
        </w:rPr>
        <w:t>Vlastník</w:t>
      </w:r>
      <w:r w:rsidRPr="00184098">
        <w:t>“)</w:t>
      </w:r>
    </w:p>
    <w:p w:rsidR="008577F3" w:rsidRDefault="000A3785"/>
    <w:p w:rsidR="00C16877" w:rsidRDefault="00C16877">
      <w:r>
        <w:t xml:space="preserve">a </w:t>
      </w:r>
    </w:p>
    <w:p w:rsidR="00C16877" w:rsidRDefault="00C16877"/>
    <w:p w:rsidR="00C16877" w:rsidRPr="00FC2DCC" w:rsidRDefault="00B945F6">
      <w:pPr>
        <w:rPr>
          <w:b/>
        </w:rPr>
      </w:pPr>
      <w:r w:rsidRPr="00FC2DCC">
        <w:rPr>
          <w:b/>
        </w:rPr>
        <w:t>Vodohospodářská společnost Benešov, s.r.o.</w:t>
      </w:r>
    </w:p>
    <w:p w:rsidR="00B945F6" w:rsidRDefault="00B945F6">
      <w:proofErr w:type="spellStart"/>
      <w:r>
        <w:t>Černoleská</w:t>
      </w:r>
      <w:proofErr w:type="spellEnd"/>
      <w:r>
        <w:t xml:space="preserve"> 1600</w:t>
      </w:r>
    </w:p>
    <w:p w:rsidR="00B945F6" w:rsidRDefault="00B945F6">
      <w:r>
        <w:t>256 01 Benešov</w:t>
      </w:r>
    </w:p>
    <w:p w:rsidR="00B945F6" w:rsidRDefault="00B945F6">
      <w:r>
        <w:t>IČ: 457 35 865</w:t>
      </w:r>
    </w:p>
    <w:p w:rsidR="00B945F6" w:rsidRDefault="00B945F6">
      <w:r>
        <w:t>DIČ: CZ 47535865</w:t>
      </w:r>
    </w:p>
    <w:p w:rsidR="00C16877" w:rsidRDefault="00B945F6">
      <w:r>
        <w:lastRenderedPageBreak/>
        <w:t xml:space="preserve">zapsaný v obchodním rejstříku </w:t>
      </w:r>
      <w:proofErr w:type="gramStart"/>
      <w:r>
        <w:t>vedeném  Městským</w:t>
      </w:r>
      <w:proofErr w:type="gramEnd"/>
      <w:r>
        <w:t xml:space="preserve"> soudem v Praze, oddíl C, vložky 16659</w:t>
      </w:r>
    </w:p>
    <w:p w:rsidR="00B945F6" w:rsidRDefault="00B945F6">
      <w:r>
        <w:t xml:space="preserve">zastoupený Manuelem </w:t>
      </w:r>
      <w:proofErr w:type="spellStart"/>
      <w:r>
        <w:t>Nivetem</w:t>
      </w:r>
      <w:proofErr w:type="spellEnd"/>
      <w:r>
        <w:t>, jednatelem společnosti</w:t>
      </w:r>
    </w:p>
    <w:p w:rsidR="00DF7003" w:rsidRDefault="00DF7003"/>
    <w:p w:rsidR="00C16877" w:rsidRPr="00215DE3" w:rsidRDefault="00C16877" w:rsidP="00E532E4">
      <w:pPr>
        <w:pStyle w:val="Nadpis1"/>
        <w:keepNext w:val="0"/>
        <w:widowControl w:val="0"/>
      </w:pPr>
      <w:r>
        <w:t>PŘEDMĚT DODATKU</w:t>
      </w:r>
    </w:p>
    <w:p w:rsidR="00C16877" w:rsidRDefault="00B945F6" w:rsidP="00E532E4">
      <w:pPr>
        <w:pStyle w:val="Nadpis2"/>
        <w:keepNext w:val="0"/>
        <w:widowControl w:val="0"/>
        <w:tabs>
          <w:tab w:val="clear" w:pos="644"/>
        </w:tabs>
        <w:ind w:left="709" w:hanging="709"/>
        <w:rPr>
          <w:b w:val="0"/>
        </w:rPr>
      </w:pPr>
      <w:r>
        <w:rPr>
          <w:b w:val="0"/>
        </w:rPr>
        <w:t>Smluvní strany uzavřeli dne 20.</w:t>
      </w:r>
      <w:r w:rsidR="00E532E4">
        <w:rPr>
          <w:b w:val="0"/>
        </w:rPr>
        <w:t xml:space="preserve"> </w:t>
      </w:r>
      <w:r>
        <w:rPr>
          <w:b w:val="0"/>
        </w:rPr>
        <w:t>5.</w:t>
      </w:r>
      <w:r w:rsidR="00E532E4">
        <w:rPr>
          <w:b w:val="0"/>
        </w:rPr>
        <w:t xml:space="preserve"> </w:t>
      </w:r>
      <w:r>
        <w:rPr>
          <w:b w:val="0"/>
        </w:rPr>
        <w:t>2014</w:t>
      </w:r>
      <w:r w:rsidR="00C16877" w:rsidRPr="00C16877">
        <w:rPr>
          <w:b w:val="0"/>
        </w:rPr>
        <w:t xml:space="preserve"> Smlouvu o nájmu a provozování vodovodů a kanalizací, dále jen „Smlouva“.</w:t>
      </w:r>
    </w:p>
    <w:p w:rsidR="00120D03" w:rsidRDefault="000E1AC4" w:rsidP="00E532E4">
      <w:pPr>
        <w:pStyle w:val="Nadpis2"/>
        <w:keepNext w:val="0"/>
        <w:widowControl w:val="0"/>
        <w:tabs>
          <w:tab w:val="clear" w:pos="644"/>
        </w:tabs>
        <w:ind w:left="709" w:hanging="709"/>
        <w:rPr>
          <w:b w:val="0"/>
        </w:rPr>
      </w:pPr>
      <w:r w:rsidRPr="00120D03">
        <w:rPr>
          <w:b w:val="0"/>
        </w:rPr>
        <w:t xml:space="preserve">Smluvní strany konstatují, že </w:t>
      </w:r>
      <w:r w:rsidR="00120D03" w:rsidRPr="00120D03">
        <w:rPr>
          <w:b w:val="0"/>
        </w:rPr>
        <w:t>Výše Nájemného obsažené v Části C Přílohy č. 5</w:t>
      </w:r>
      <w:r w:rsidR="00E532E4">
        <w:rPr>
          <w:b w:val="0"/>
        </w:rPr>
        <w:t xml:space="preserve"> Smlouvy</w:t>
      </w:r>
      <w:r w:rsidR="00120D03" w:rsidRPr="00120D03">
        <w:rPr>
          <w:b w:val="0"/>
        </w:rPr>
        <w:t xml:space="preserve"> v letech 2015 – 2018 neodpovídá výši cen pro vodné a stočné, vypočtených ve finančních analýzách projektů podpořených z Operačního programu Životní prostředí s názvem „Psary-</w:t>
      </w:r>
      <w:proofErr w:type="spellStart"/>
      <w:r w:rsidR="00120D03" w:rsidRPr="00120D03">
        <w:rPr>
          <w:b w:val="0"/>
        </w:rPr>
        <w:t>vystavba</w:t>
      </w:r>
      <w:proofErr w:type="spellEnd"/>
      <w:r w:rsidR="00120D03" w:rsidRPr="00120D03">
        <w:rPr>
          <w:b w:val="0"/>
        </w:rPr>
        <w:t xml:space="preserve"> COV II. etapa, IS vodovod a kanalizace“, „Vodovod Psáry, Dolní Jirčany - lokalita Vysoká“ „Kanalizace Psáry, Dolní Jirčany - lokalita Vysoká a ulice Pod Kostelem“</w:t>
      </w:r>
      <w:r w:rsidR="00E532E4">
        <w:rPr>
          <w:b w:val="0"/>
        </w:rPr>
        <w:t>, dále jen „projekty OPŽP“</w:t>
      </w:r>
      <w:r w:rsidR="00120D03">
        <w:rPr>
          <w:b w:val="0"/>
        </w:rPr>
        <w:t xml:space="preserve">. </w:t>
      </w:r>
    </w:p>
    <w:p w:rsidR="00C16877" w:rsidRPr="00120D03" w:rsidRDefault="00120D03" w:rsidP="00E532E4">
      <w:pPr>
        <w:pStyle w:val="Nadpis2"/>
        <w:keepNext w:val="0"/>
        <w:widowControl w:val="0"/>
        <w:tabs>
          <w:tab w:val="clear" w:pos="644"/>
        </w:tabs>
        <w:ind w:left="709" w:hanging="709"/>
        <w:rPr>
          <w:b w:val="0"/>
        </w:rPr>
      </w:pPr>
      <w:r>
        <w:rPr>
          <w:b w:val="0"/>
        </w:rPr>
        <w:t xml:space="preserve">Tento dodatek je uzavřen za účelem dosažení konzistence cen pro vodné a stočné vypočtených podle </w:t>
      </w:r>
      <w:r w:rsidR="00E532E4" w:rsidRPr="00120D03">
        <w:rPr>
          <w:b w:val="0"/>
        </w:rPr>
        <w:t>Přílohy č. 5</w:t>
      </w:r>
      <w:r w:rsidR="00E532E4">
        <w:rPr>
          <w:b w:val="0"/>
        </w:rPr>
        <w:t xml:space="preserve"> Smlouvy v letech 2015 – 2018 s finančními analýzami projektů </w:t>
      </w:r>
      <w:proofErr w:type="gramStart"/>
      <w:r w:rsidR="00E532E4">
        <w:rPr>
          <w:b w:val="0"/>
        </w:rPr>
        <w:t>OPŽP..</w:t>
      </w:r>
      <w:proofErr w:type="gramEnd"/>
    </w:p>
    <w:p w:rsidR="00C16877" w:rsidRDefault="00C16877" w:rsidP="00E532E4">
      <w:pPr>
        <w:pStyle w:val="Nadpis2"/>
        <w:keepLines/>
        <w:widowControl w:val="0"/>
        <w:tabs>
          <w:tab w:val="clear" w:pos="644"/>
        </w:tabs>
        <w:ind w:left="709" w:hanging="709"/>
        <w:rPr>
          <w:b w:val="0"/>
        </w:rPr>
      </w:pPr>
      <w:r w:rsidRPr="00C16877">
        <w:rPr>
          <w:b w:val="0"/>
        </w:rPr>
        <w:lastRenderedPageBreak/>
        <w:t xml:space="preserve">Smluvní strany společně prohlašují, že tyto úpravy nesnižují ekonomickou výhodnost nabídky provozovatele v koncesním řízení s názvem „Zajištění provozu vodohospodářské infrastruktury obce Psáry“, zveřejněném pod evidenčním číslem zakázky: </w:t>
      </w:r>
      <w:r w:rsidR="0034650D">
        <w:rPr>
          <w:b w:val="0"/>
        </w:rPr>
        <w:t>VZ 367514 dne 24. 9. 2013</w:t>
      </w:r>
      <w:r w:rsidRPr="00C16877">
        <w:rPr>
          <w:b w:val="0"/>
        </w:rPr>
        <w:t>.</w:t>
      </w:r>
    </w:p>
    <w:p w:rsidR="0034650D" w:rsidRDefault="0034650D" w:rsidP="0034650D">
      <w:pPr>
        <w:rPr>
          <w:lang w:eastAsia="en-US"/>
        </w:rPr>
      </w:pPr>
    </w:p>
    <w:p w:rsidR="00791649" w:rsidRDefault="00791649" w:rsidP="0034650D">
      <w:pPr>
        <w:pStyle w:val="Nadpis1"/>
      </w:pPr>
      <w:r>
        <w:t>změny smlouvy</w:t>
      </w:r>
    </w:p>
    <w:p w:rsidR="0034650D" w:rsidRDefault="00791649" w:rsidP="008B3938">
      <w:pPr>
        <w:pStyle w:val="Nadpis2"/>
        <w:numPr>
          <w:ilvl w:val="0"/>
          <w:numId w:val="0"/>
        </w:numPr>
        <w:ind w:left="708"/>
      </w:pPr>
      <w:bookmarkStart w:id="2" w:name="_Toc269943477"/>
      <w:r>
        <w:t>B</w:t>
      </w:r>
      <w:r w:rsidRPr="00791649">
        <w:t xml:space="preserve">od </w:t>
      </w:r>
      <w:r w:rsidR="000E1AC4">
        <w:t>7</w:t>
      </w:r>
      <w:r w:rsidRPr="00791649">
        <w:t>.</w:t>
      </w:r>
      <w:r w:rsidR="000E1AC4">
        <w:t>1</w:t>
      </w:r>
      <w:r w:rsidRPr="00791649">
        <w:t xml:space="preserve"> </w:t>
      </w:r>
      <w:r w:rsidR="000E1AC4">
        <w:t xml:space="preserve">NÁJEMNÉ – Základní ustanovení </w:t>
      </w:r>
      <w:r w:rsidRPr="00791649">
        <w:t>se mění takto</w:t>
      </w:r>
      <w:bookmarkEnd w:id="2"/>
      <w:r>
        <w:t>:</w:t>
      </w:r>
    </w:p>
    <w:p w:rsidR="000E1AC4" w:rsidRPr="00404ECA" w:rsidRDefault="000E1AC4" w:rsidP="000E1AC4">
      <w:pPr>
        <w:pStyle w:val="Nadpis4"/>
      </w:pPr>
      <w:r w:rsidRPr="00184098">
        <w:t xml:space="preserve">Smluvní </w:t>
      </w:r>
      <w:r>
        <w:t>S</w:t>
      </w:r>
      <w:r w:rsidRPr="00184098">
        <w:t xml:space="preserve">trany výslovně sjednávají, že výši Nájemného je oprávněn a současně povinen stanovit jednostranně Vlastník, zvlášť pro </w:t>
      </w:r>
      <w:proofErr w:type="gramStart"/>
      <w:r w:rsidRPr="00184098">
        <w:t>Vodovod</w:t>
      </w:r>
      <w:r>
        <w:t>(y)</w:t>
      </w:r>
      <w:r w:rsidRPr="00184098">
        <w:t xml:space="preserve"> a zvlášť</w:t>
      </w:r>
      <w:proofErr w:type="gramEnd"/>
      <w:r w:rsidRPr="00184098">
        <w:t xml:space="preserve"> pro Kanalizaci</w:t>
      </w:r>
      <w:r>
        <w:t>(e)</w:t>
      </w:r>
      <w:r w:rsidRPr="00184098">
        <w:t>, a tuto považují pro účely této Smlouvy za cenu sjednanou dle cenových předpisů; odpovědnost Vlastníka za soulad výše Nájemného s cenovými předpisy tím není dotčena. Provozovatel je povinen zahrnout takto určenou výši Nájemného do kalkulace Ceny pro Vodné a Ceny pro Stočné postupem dle Přílohy č</w:t>
      </w:r>
      <w:r w:rsidRPr="00404ECA">
        <w:t>. 5</w:t>
      </w:r>
      <w:r>
        <w:t xml:space="preserve"> </w:t>
      </w:r>
      <w:r w:rsidRPr="00404ECA">
        <w:t xml:space="preserve">k této Smlouvě. </w:t>
      </w:r>
    </w:p>
    <w:p w:rsidR="000E1AC4" w:rsidRPr="00184098" w:rsidRDefault="000E1AC4" w:rsidP="000E1AC4">
      <w:pPr>
        <w:pStyle w:val="Nadpis4"/>
      </w:pPr>
      <w:r w:rsidRPr="00184098">
        <w:t>Všechny částky podle této Smlouvy jsou vyčísleny bez DPH.</w:t>
      </w:r>
    </w:p>
    <w:p w:rsidR="008B3938" w:rsidRDefault="008C7587" w:rsidP="008B3938">
      <w:pPr>
        <w:rPr>
          <w:lang w:eastAsia="en-US"/>
        </w:rPr>
      </w:pPr>
      <w:r>
        <w:rPr>
          <w:lang w:eastAsia="en-US"/>
        </w:rPr>
        <w:tab/>
      </w:r>
    </w:p>
    <w:p w:rsidR="000E1AC4" w:rsidRPr="000E1AC4" w:rsidRDefault="000E1AC4" w:rsidP="000E1AC4">
      <w:pPr>
        <w:ind w:left="708"/>
        <w:rPr>
          <w:b/>
          <w:lang w:eastAsia="en-US"/>
        </w:rPr>
      </w:pPr>
      <w:r>
        <w:rPr>
          <w:b/>
          <w:lang w:eastAsia="en-US"/>
        </w:rPr>
        <w:t>Část</w:t>
      </w:r>
      <w:r w:rsidRPr="000E1AC4">
        <w:rPr>
          <w:b/>
          <w:lang w:eastAsia="en-US"/>
        </w:rPr>
        <w:t xml:space="preserve"> C Přílohy č. 5 – výše nájemného se mění takto</w:t>
      </w:r>
      <w:r>
        <w:rPr>
          <w:b/>
          <w:lang w:eastAsia="en-US"/>
        </w:rPr>
        <w:t>:</w:t>
      </w:r>
    </w:p>
    <w:p w:rsidR="000E1AC4" w:rsidRDefault="000E1AC4" w:rsidP="00E532E4">
      <w:pPr>
        <w:spacing w:after="240"/>
        <w:ind w:left="709"/>
        <w:jc w:val="both"/>
        <w:rPr>
          <w:lang w:eastAsia="en-US"/>
        </w:rPr>
      </w:pPr>
      <w:r>
        <w:rPr>
          <w:lang w:eastAsia="en-US"/>
        </w:rPr>
        <w:t>V</w:t>
      </w:r>
      <w:r w:rsidRPr="000E1AC4">
        <w:rPr>
          <w:lang w:eastAsia="en-US"/>
        </w:rPr>
        <w:t>ýše Nájemného obsažené v Části C Přílohy č. 5</w:t>
      </w:r>
      <w:r>
        <w:rPr>
          <w:lang w:eastAsia="en-US"/>
        </w:rPr>
        <w:t xml:space="preserve"> (Základní modul, list „</w:t>
      </w:r>
      <w:proofErr w:type="spellStart"/>
      <w:r>
        <w:rPr>
          <w:lang w:eastAsia="en-US"/>
        </w:rPr>
        <w:t>Najemne</w:t>
      </w:r>
      <w:proofErr w:type="spellEnd"/>
      <w:r>
        <w:rPr>
          <w:lang w:eastAsia="en-US"/>
        </w:rPr>
        <w:t xml:space="preserve"> V“ a „</w:t>
      </w:r>
      <w:proofErr w:type="spellStart"/>
      <w:r>
        <w:rPr>
          <w:lang w:eastAsia="en-US"/>
        </w:rPr>
        <w:t>Najemne</w:t>
      </w:r>
      <w:proofErr w:type="spellEnd"/>
      <w:r>
        <w:rPr>
          <w:lang w:eastAsia="en-US"/>
        </w:rPr>
        <w:t xml:space="preserve"> S“, řádek č. 26 </w:t>
      </w:r>
      <w:r w:rsidR="005A4BB2">
        <w:rPr>
          <w:lang w:eastAsia="en-US"/>
        </w:rPr>
        <w:t>se mění tak, aby byla dodržena konzistence cen pro vodné a stočné s finanční</w:t>
      </w:r>
      <w:r w:rsidR="00E532E4">
        <w:rPr>
          <w:lang w:eastAsia="en-US"/>
        </w:rPr>
        <w:t>mi</w:t>
      </w:r>
      <w:r w:rsidR="005A4BB2">
        <w:rPr>
          <w:lang w:eastAsia="en-US"/>
        </w:rPr>
        <w:t xml:space="preserve"> analýz</w:t>
      </w:r>
      <w:r w:rsidR="00E532E4">
        <w:rPr>
          <w:lang w:eastAsia="en-US"/>
        </w:rPr>
        <w:t>ami</w:t>
      </w:r>
      <w:r w:rsidR="005A4BB2">
        <w:rPr>
          <w:lang w:eastAsia="en-US"/>
        </w:rPr>
        <w:t xml:space="preserve"> projektů </w:t>
      </w:r>
      <w:r w:rsidR="00E532E4">
        <w:rPr>
          <w:lang w:eastAsia="en-US"/>
        </w:rPr>
        <w:t>OPŽP</w:t>
      </w:r>
      <w:r w:rsidR="005A4BB2">
        <w:rPr>
          <w:lang w:eastAsia="en-US"/>
        </w:rPr>
        <w:t>:</w:t>
      </w:r>
    </w:p>
    <w:tbl>
      <w:tblPr>
        <w:tblW w:w="8504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3"/>
        <w:gridCol w:w="898"/>
        <w:gridCol w:w="1080"/>
        <w:gridCol w:w="1081"/>
        <w:gridCol w:w="1080"/>
        <w:gridCol w:w="1081"/>
        <w:gridCol w:w="1081"/>
      </w:tblGrid>
      <w:tr w:rsidR="00120D03" w:rsidRPr="00120D03" w:rsidTr="00120D03">
        <w:trPr>
          <w:trHeight w:val="371"/>
        </w:trPr>
        <w:tc>
          <w:tcPr>
            <w:tcW w:w="2203" w:type="dxa"/>
            <w:shd w:val="clear" w:color="auto" w:fill="auto"/>
            <w:noWrap/>
            <w:vAlign w:val="center"/>
            <w:hideMark/>
          </w:tcPr>
          <w:p w:rsidR="005A4BB2" w:rsidRPr="005A4BB2" w:rsidRDefault="005A4BB2" w:rsidP="00120D03">
            <w:pPr>
              <w:spacing w:after="0"/>
              <w:rPr>
                <w:rFonts w:cs="Arial"/>
                <w:b/>
                <w:bCs/>
                <w:i/>
                <w:iCs/>
                <w:sz w:val="20"/>
              </w:rPr>
            </w:pPr>
            <w:r w:rsidRPr="005A4BB2">
              <w:rPr>
                <w:rFonts w:cs="Arial"/>
                <w:b/>
                <w:bCs/>
                <w:i/>
                <w:iCs/>
                <w:sz w:val="20"/>
              </w:rPr>
              <w:lastRenderedPageBreak/>
              <w:t>Příjem vlastníka</w:t>
            </w: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5A4BB2" w:rsidRPr="005A4BB2" w:rsidRDefault="005A4BB2" w:rsidP="005A4BB2">
            <w:pPr>
              <w:spacing w:after="0"/>
              <w:rPr>
                <w:rFonts w:cs="Arial"/>
                <w:b/>
                <w:sz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A4BB2" w:rsidRPr="00120D03" w:rsidRDefault="00120D03" w:rsidP="00120D03">
            <w:pPr>
              <w:spacing w:after="0"/>
              <w:jc w:val="right"/>
              <w:rPr>
                <w:rFonts w:cs="Arial"/>
                <w:b/>
                <w:sz w:val="20"/>
              </w:rPr>
            </w:pPr>
            <w:r w:rsidRPr="00120D03">
              <w:rPr>
                <w:rFonts w:cs="Arial"/>
                <w:b/>
                <w:sz w:val="20"/>
              </w:rPr>
              <w:t>2014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5A4BB2" w:rsidRPr="005A4BB2" w:rsidRDefault="00120D03" w:rsidP="00120D03">
            <w:pPr>
              <w:spacing w:after="0"/>
              <w:jc w:val="right"/>
              <w:rPr>
                <w:rFonts w:cs="Arial"/>
                <w:b/>
                <w:sz w:val="20"/>
              </w:rPr>
            </w:pPr>
            <w:r w:rsidRPr="00120D03">
              <w:rPr>
                <w:rFonts w:cs="Arial"/>
                <w:b/>
                <w:sz w:val="20"/>
              </w:rPr>
              <w:t>2015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A4BB2" w:rsidRPr="005A4BB2" w:rsidRDefault="00120D03" w:rsidP="00120D03">
            <w:pPr>
              <w:spacing w:after="0"/>
              <w:jc w:val="right"/>
              <w:rPr>
                <w:rFonts w:cs="Arial"/>
                <w:b/>
                <w:sz w:val="20"/>
              </w:rPr>
            </w:pPr>
            <w:r w:rsidRPr="00120D03">
              <w:rPr>
                <w:rFonts w:cs="Arial"/>
                <w:b/>
                <w:sz w:val="20"/>
              </w:rPr>
              <w:t>2016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5A4BB2" w:rsidRPr="005A4BB2" w:rsidRDefault="00120D03" w:rsidP="00120D03">
            <w:pPr>
              <w:spacing w:after="0"/>
              <w:jc w:val="right"/>
              <w:rPr>
                <w:rFonts w:cs="Arial"/>
                <w:b/>
                <w:sz w:val="20"/>
              </w:rPr>
            </w:pPr>
            <w:r w:rsidRPr="00120D03">
              <w:rPr>
                <w:rFonts w:cs="Arial"/>
                <w:b/>
                <w:sz w:val="20"/>
              </w:rPr>
              <w:t>2017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5A4BB2" w:rsidRPr="005A4BB2" w:rsidRDefault="00120D03" w:rsidP="00120D03">
            <w:pPr>
              <w:spacing w:after="0"/>
              <w:jc w:val="right"/>
              <w:rPr>
                <w:rFonts w:cs="Arial"/>
                <w:b/>
                <w:sz w:val="20"/>
              </w:rPr>
            </w:pPr>
            <w:r w:rsidRPr="00120D03">
              <w:rPr>
                <w:rFonts w:cs="Arial"/>
                <w:b/>
                <w:sz w:val="20"/>
              </w:rPr>
              <w:t>2018</w:t>
            </w:r>
          </w:p>
        </w:tc>
      </w:tr>
      <w:tr w:rsidR="00F24ACF" w:rsidRPr="00120D03" w:rsidTr="00F24ACF">
        <w:trPr>
          <w:trHeight w:val="371"/>
        </w:trPr>
        <w:tc>
          <w:tcPr>
            <w:tcW w:w="2203" w:type="dxa"/>
            <w:shd w:val="clear" w:color="auto" w:fill="auto"/>
            <w:noWrap/>
            <w:vAlign w:val="center"/>
            <w:hideMark/>
          </w:tcPr>
          <w:p w:rsidR="00F24ACF" w:rsidRPr="005A4BB2" w:rsidRDefault="00F24ACF" w:rsidP="00120D03">
            <w:pPr>
              <w:spacing w:after="0"/>
              <w:rPr>
                <w:rFonts w:cs="Arial"/>
                <w:sz w:val="20"/>
              </w:rPr>
            </w:pPr>
            <w:r w:rsidRPr="005A4BB2">
              <w:rPr>
                <w:rFonts w:cs="Arial"/>
                <w:sz w:val="20"/>
              </w:rPr>
              <w:t>Nájem z vodného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F24ACF" w:rsidRPr="005A4BB2" w:rsidRDefault="00F24ACF" w:rsidP="00120D03">
            <w:pPr>
              <w:spacing w:after="0"/>
              <w:jc w:val="center"/>
              <w:rPr>
                <w:rFonts w:cs="Arial"/>
                <w:sz w:val="20"/>
              </w:rPr>
            </w:pPr>
            <w:r w:rsidRPr="005A4BB2">
              <w:rPr>
                <w:rFonts w:cs="Arial"/>
                <w:sz w:val="20"/>
              </w:rPr>
              <w:t>tis. Kč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24ACF" w:rsidRPr="005A4BB2" w:rsidRDefault="00F24ACF" w:rsidP="00120D03">
            <w:pPr>
              <w:spacing w:after="0"/>
              <w:jc w:val="right"/>
              <w:rPr>
                <w:rFonts w:cs="Arial"/>
                <w:sz w:val="20"/>
              </w:rPr>
            </w:pPr>
            <w:r w:rsidRPr="00120D03">
              <w:rPr>
                <w:rFonts w:cs="Arial"/>
                <w:sz w:val="20"/>
              </w:rPr>
              <w:t>390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24ACF" w:rsidRPr="00F24ACF" w:rsidRDefault="00F24ACF" w:rsidP="00F24ACF">
            <w:pPr>
              <w:spacing w:after="0"/>
              <w:jc w:val="right"/>
              <w:rPr>
                <w:rFonts w:cs="Arial"/>
                <w:sz w:val="20"/>
              </w:rPr>
            </w:pPr>
            <w:r w:rsidRPr="00F24ACF">
              <w:rPr>
                <w:rFonts w:cs="Arial"/>
                <w:sz w:val="20"/>
              </w:rPr>
              <w:t>751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24ACF" w:rsidRPr="00F24ACF" w:rsidRDefault="00F24ACF" w:rsidP="00F24ACF">
            <w:pPr>
              <w:spacing w:after="0"/>
              <w:jc w:val="right"/>
              <w:rPr>
                <w:rFonts w:cs="Arial"/>
                <w:sz w:val="20"/>
              </w:rPr>
            </w:pPr>
            <w:r w:rsidRPr="00F24ACF">
              <w:rPr>
                <w:rFonts w:cs="Arial"/>
                <w:sz w:val="20"/>
              </w:rPr>
              <w:t>989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24ACF" w:rsidRPr="00F24ACF" w:rsidRDefault="00F24ACF" w:rsidP="00F24ACF">
            <w:pPr>
              <w:spacing w:after="0"/>
              <w:jc w:val="right"/>
              <w:rPr>
                <w:rFonts w:cs="Arial"/>
                <w:sz w:val="20"/>
              </w:rPr>
            </w:pPr>
            <w:r w:rsidRPr="00F24ACF">
              <w:rPr>
                <w:rFonts w:cs="Arial"/>
                <w:sz w:val="20"/>
              </w:rPr>
              <w:t>1 610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F24ACF" w:rsidRPr="00F24ACF" w:rsidRDefault="00F24ACF" w:rsidP="00F24ACF">
            <w:pPr>
              <w:spacing w:after="0"/>
              <w:jc w:val="right"/>
              <w:rPr>
                <w:rFonts w:cs="Arial"/>
                <w:sz w:val="20"/>
              </w:rPr>
            </w:pPr>
            <w:r w:rsidRPr="00F24ACF">
              <w:rPr>
                <w:rFonts w:cs="Arial"/>
                <w:sz w:val="20"/>
              </w:rPr>
              <w:t>2 125</w:t>
            </w:r>
          </w:p>
        </w:tc>
      </w:tr>
      <w:tr w:rsidR="00863AFB" w:rsidRPr="00120D03" w:rsidTr="00863AFB">
        <w:trPr>
          <w:trHeight w:val="371"/>
        </w:trPr>
        <w:tc>
          <w:tcPr>
            <w:tcW w:w="2203" w:type="dxa"/>
            <w:shd w:val="clear" w:color="auto" w:fill="auto"/>
            <w:noWrap/>
            <w:vAlign w:val="center"/>
            <w:hideMark/>
          </w:tcPr>
          <w:p w:rsidR="00863AFB" w:rsidRPr="005A4BB2" w:rsidRDefault="00863AFB" w:rsidP="00120D03">
            <w:pPr>
              <w:spacing w:after="0"/>
              <w:rPr>
                <w:rFonts w:cs="Arial"/>
                <w:sz w:val="20"/>
              </w:rPr>
            </w:pPr>
            <w:r w:rsidRPr="005A4BB2">
              <w:rPr>
                <w:rFonts w:cs="Arial"/>
                <w:sz w:val="20"/>
              </w:rPr>
              <w:t>Nájem z</w:t>
            </w:r>
            <w:r w:rsidRPr="00120D03">
              <w:rPr>
                <w:rFonts w:cs="Arial"/>
                <w:sz w:val="20"/>
              </w:rPr>
              <w:t>e</w:t>
            </w:r>
            <w:r w:rsidRPr="005A4BB2">
              <w:rPr>
                <w:rFonts w:cs="Arial"/>
                <w:sz w:val="20"/>
              </w:rPr>
              <w:t xml:space="preserve"> </w:t>
            </w:r>
            <w:r w:rsidRPr="00120D03">
              <w:rPr>
                <w:rFonts w:cs="Arial"/>
                <w:sz w:val="20"/>
              </w:rPr>
              <w:t>stočného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863AFB" w:rsidRPr="005A4BB2" w:rsidRDefault="00863AFB" w:rsidP="00120D03">
            <w:pPr>
              <w:spacing w:after="0"/>
              <w:jc w:val="center"/>
              <w:rPr>
                <w:rFonts w:cs="Arial"/>
                <w:sz w:val="20"/>
              </w:rPr>
            </w:pPr>
            <w:r w:rsidRPr="005A4BB2">
              <w:rPr>
                <w:rFonts w:cs="Arial"/>
                <w:sz w:val="20"/>
              </w:rPr>
              <w:t>tis. Kč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63AFB" w:rsidRPr="00120D03" w:rsidRDefault="00863AFB" w:rsidP="00E532E4">
            <w:pPr>
              <w:spacing w:after="0"/>
              <w:jc w:val="right"/>
              <w:rPr>
                <w:rFonts w:cs="Arial"/>
                <w:sz w:val="20"/>
              </w:rPr>
            </w:pPr>
            <w:r w:rsidRPr="00120D03">
              <w:rPr>
                <w:rFonts w:cs="Arial"/>
                <w:sz w:val="20"/>
              </w:rPr>
              <w:t>910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863AFB" w:rsidRPr="00863AFB" w:rsidRDefault="00863AFB" w:rsidP="00863AFB">
            <w:pPr>
              <w:spacing w:after="0"/>
              <w:jc w:val="right"/>
              <w:rPr>
                <w:rFonts w:cs="Arial"/>
                <w:sz w:val="20"/>
              </w:rPr>
            </w:pPr>
            <w:r w:rsidRPr="00863AFB">
              <w:rPr>
                <w:rFonts w:cs="Arial"/>
                <w:sz w:val="20"/>
              </w:rPr>
              <w:t>967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63AFB" w:rsidRPr="00863AFB" w:rsidRDefault="00863AFB" w:rsidP="00863AFB">
            <w:pPr>
              <w:spacing w:after="0"/>
              <w:jc w:val="right"/>
              <w:rPr>
                <w:rFonts w:cs="Arial"/>
                <w:sz w:val="20"/>
              </w:rPr>
            </w:pPr>
            <w:r w:rsidRPr="00863AFB">
              <w:rPr>
                <w:rFonts w:cs="Arial"/>
                <w:sz w:val="20"/>
              </w:rPr>
              <w:t>1 266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863AFB" w:rsidRPr="00863AFB" w:rsidRDefault="00863AFB" w:rsidP="00863AFB">
            <w:pPr>
              <w:spacing w:after="0"/>
              <w:jc w:val="right"/>
              <w:rPr>
                <w:rFonts w:cs="Arial"/>
                <w:sz w:val="20"/>
              </w:rPr>
            </w:pPr>
            <w:r w:rsidRPr="00863AFB">
              <w:rPr>
                <w:rFonts w:cs="Arial"/>
                <w:sz w:val="20"/>
              </w:rPr>
              <w:t>1 655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863AFB" w:rsidRPr="00863AFB" w:rsidRDefault="00863AFB" w:rsidP="00863AFB">
            <w:pPr>
              <w:spacing w:after="0"/>
              <w:jc w:val="right"/>
              <w:rPr>
                <w:rFonts w:cs="Arial"/>
                <w:sz w:val="20"/>
              </w:rPr>
            </w:pPr>
            <w:r w:rsidRPr="00863AFB">
              <w:rPr>
                <w:rFonts w:cs="Arial"/>
                <w:sz w:val="20"/>
              </w:rPr>
              <w:t>2 013</w:t>
            </w:r>
          </w:p>
        </w:tc>
      </w:tr>
    </w:tbl>
    <w:p w:rsidR="005A4BB2" w:rsidRDefault="005A4BB2" w:rsidP="005A4BB2">
      <w:pPr>
        <w:ind w:left="708"/>
        <w:jc w:val="both"/>
        <w:rPr>
          <w:lang w:eastAsia="en-US"/>
        </w:rPr>
      </w:pPr>
    </w:p>
    <w:p w:rsidR="00E532E4" w:rsidRDefault="00E532E4" w:rsidP="005A4BB2">
      <w:pPr>
        <w:ind w:left="708"/>
        <w:jc w:val="both"/>
        <w:rPr>
          <w:lang w:eastAsia="en-US"/>
        </w:rPr>
      </w:pPr>
    </w:p>
    <w:p w:rsidR="008B3938" w:rsidRDefault="008B3938" w:rsidP="00E532E4">
      <w:pPr>
        <w:pStyle w:val="Nadpis1"/>
        <w:keepNext w:val="0"/>
      </w:pPr>
      <w:r>
        <w:t>ZÁVĚREČNÁ USTANOVENÍ</w:t>
      </w:r>
    </w:p>
    <w:p w:rsidR="008B3938" w:rsidRDefault="008B3938" w:rsidP="00E532E4">
      <w:pPr>
        <w:pStyle w:val="Nadpis2"/>
        <w:keepNext w:val="0"/>
        <w:tabs>
          <w:tab w:val="clear" w:pos="644"/>
          <w:tab w:val="num" w:pos="709"/>
        </w:tabs>
      </w:pPr>
      <w:bookmarkStart w:id="3" w:name="_Toc276770593"/>
      <w:r>
        <w:t xml:space="preserve">Platnost a účinnost dodatku  </w:t>
      </w:r>
    </w:p>
    <w:p w:rsidR="008B3938" w:rsidRPr="008B3938" w:rsidRDefault="008B3938" w:rsidP="00E532E4">
      <w:pPr>
        <w:pStyle w:val="Nadpis2"/>
        <w:keepNext w:val="0"/>
        <w:numPr>
          <w:ilvl w:val="0"/>
          <w:numId w:val="0"/>
        </w:numPr>
        <w:ind w:left="708"/>
        <w:rPr>
          <w:b w:val="0"/>
        </w:rPr>
      </w:pPr>
      <w:r w:rsidRPr="008B3938">
        <w:rPr>
          <w:b w:val="0"/>
        </w:rPr>
        <w:t>Ustanovení tohoto dodatku</w:t>
      </w:r>
      <w:r w:rsidR="00FC2DCC">
        <w:rPr>
          <w:b w:val="0"/>
        </w:rPr>
        <w:t xml:space="preserve"> č.</w:t>
      </w:r>
      <w:r w:rsidR="00120D03">
        <w:rPr>
          <w:b w:val="0"/>
        </w:rPr>
        <w:t xml:space="preserve"> 2</w:t>
      </w:r>
      <w:r w:rsidR="00FC2DCC">
        <w:rPr>
          <w:b w:val="0"/>
        </w:rPr>
        <w:t xml:space="preserve"> </w:t>
      </w:r>
      <w:r w:rsidRPr="008B3938">
        <w:rPr>
          <w:b w:val="0"/>
        </w:rPr>
        <w:t>nabývají platnosti</w:t>
      </w:r>
      <w:r w:rsidR="00FC2DCC">
        <w:rPr>
          <w:b w:val="0"/>
        </w:rPr>
        <w:t xml:space="preserve"> a účinnosti dnem podpisu </w:t>
      </w:r>
      <w:r w:rsidRPr="008B3938">
        <w:rPr>
          <w:b w:val="0"/>
        </w:rPr>
        <w:t>dodatku všemi Smluvními Stranami.</w:t>
      </w:r>
    </w:p>
    <w:p w:rsidR="008B3938" w:rsidRDefault="008B3938" w:rsidP="00E532E4">
      <w:pPr>
        <w:pStyle w:val="Nadpis2"/>
        <w:keepNext w:val="0"/>
        <w:tabs>
          <w:tab w:val="clear" w:pos="644"/>
          <w:tab w:val="num" w:pos="709"/>
        </w:tabs>
      </w:pPr>
      <w:r>
        <w:t>Počet vyhotovení</w:t>
      </w:r>
      <w:bookmarkEnd w:id="3"/>
    </w:p>
    <w:p w:rsidR="008B3938" w:rsidRPr="008B3938" w:rsidRDefault="008B3938" w:rsidP="00E532E4">
      <w:pPr>
        <w:pStyle w:val="Nadpis2"/>
        <w:keepNext w:val="0"/>
        <w:numPr>
          <w:ilvl w:val="0"/>
          <w:numId w:val="0"/>
        </w:numPr>
        <w:ind w:left="708"/>
        <w:rPr>
          <w:b w:val="0"/>
        </w:rPr>
      </w:pPr>
      <w:r w:rsidRPr="008B3938">
        <w:rPr>
          <w:b w:val="0"/>
        </w:rPr>
        <w:t xml:space="preserve">Tento dodatek </w:t>
      </w:r>
      <w:r w:rsidR="00FC2DCC">
        <w:rPr>
          <w:b w:val="0"/>
        </w:rPr>
        <w:t xml:space="preserve">č. </w:t>
      </w:r>
      <w:r w:rsidR="00120D03">
        <w:rPr>
          <w:b w:val="0"/>
        </w:rPr>
        <w:t>2</w:t>
      </w:r>
      <w:r w:rsidR="00FC2DCC">
        <w:rPr>
          <w:b w:val="0"/>
        </w:rPr>
        <w:t xml:space="preserve"> </w:t>
      </w:r>
      <w:r w:rsidRPr="008B3938">
        <w:rPr>
          <w:b w:val="0"/>
        </w:rPr>
        <w:t>je vyhotoven v 4 stejnopisech v českém jazyce. Každá ze Smluvních Stran si ponechá po 2 vyhotovení.</w:t>
      </w:r>
    </w:p>
    <w:p w:rsidR="008B3938" w:rsidRDefault="008B3938" w:rsidP="00E532E4">
      <w:pPr>
        <w:pStyle w:val="Nadpis2"/>
        <w:keepLines/>
        <w:tabs>
          <w:tab w:val="clear" w:pos="644"/>
          <w:tab w:val="num" w:pos="709"/>
        </w:tabs>
      </w:pPr>
      <w:bookmarkStart w:id="4" w:name="_Toc276770597"/>
      <w:r>
        <w:t>Podpisy</w:t>
      </w:r>
      <w:bookmarkEnd w:id="4"/>
    </w:p>
    <w:p w:rsidR="008B3938" w:rsidRPr="008B3938" w:rsidRDefault="008B3938" w:rsidP="00E532E4">
      <w:pPr>
        <w:pStyle w:val="Nadpis2"/>
        <w:keepLines/>
        <w:numPr>
          <w:ilvl w:val="0"/>
          <w:numId w:val="0"/>
        </w:numPr>
        <w:ind w:left="708"/>
        <w:rPr>
          <w:b w:val="0"/>
        </w:rPr>
      </w:pPr>
      <w:r w:rsidRPr="008B3938">
        <w:rPr>
          <w:b w:val="0"/>
        </w:rPr>
        <w:t>Smluvní Strany tímto prohlašují a potvrzují, že veškerá ustanovení a podmínky tohoto dodatku</w:t>
      </w:r>
      <w:r w:rsidR="00FC2DCC">
        <w:rPr>
          <w:b w:val="0"/>
        </w:rPr>
        <w:t xml:space="preserve"> </w:t>
      </w:r>
      <w:proofErr w:type="gramStart"/>
      <w:r w:rsidR="00FC2DCC">
        <w:rPr>
          <w:b w:val="0"/>
        </w:rPr>
        <w:t>č.1</w:t>
      </w:r>
      <w:r w:rsidRPr="008B3938">
        <w:rPr>
          <w:b w:val="0"/>
        </w:rPr>
        <w:t xml:space="preserve"> byly</w:t>
      </w:r>
      <w:proofErr w:type="gramEnd"/>
      <w:r w:rsidRPr="008B3938">
        <w:rPr>
          <w:b w:val="0"/>
        </w:rPr>
        <w:t xml:space="preserve"> dohodnuty mezi Smluvními Stranami svobodně, vážně a určitě, nikoliv v tísni a za nápadně nevýhodných podmínek a na důkaz toho připojují své podpisy: </w:t>
      </w:r>
    </w:p>
    <w:p w:rsidR="00E532E4" w:rsidRDefault="00E532E4" w:rsidP="00E532E4">
      <w:pPr>
        <w:pStyle w:val="Nadpis1"/>
        <w:keepNext w:val="0"/>
      </w:pPr>
      <w:r>
        <w:t>Přílohy</w:t>
      </w:r>
    </w:p>
    <w:p w:rsidR="00E532E4" w:rsidRDefault="00E532E4" w:rsidP="00E532E4">
      <w:pPr>
        <w:pStyle w:val="Nadpis2"/>
        <w:numPr>
          <w:ilvl w:val="0"/>
          <w:numId w:val="0"/>
        </w:numPr>
      </w:pPr>
      <w:bookmarkStart w:id="5" w:name="OLE_LINK3"/>
      <w:bookmarkStart w:id="6" w:name="OLE_LINK4"/>
      <w:bookmarkStart w:id="7" w:name="_Toc269943486"/>
      <w:r>
        <w:lastRenderedPageBreak/>
        <w:tab/>
        <w:t xml:space="preserve">Aktualizovaná </w:t>
      </w:r>
      <w:r w:rsidRPr="008377D1">
        <w:t xml:space="preserve">Příloha č. </w:t>
      </w:r>
      <w:bookmarkEnd w:id="5"/>
      <w:bookmarkEnd w:id="6"/>
      <w:r w:rsidRPr="008377D1">
        <w:t>5:</w:t>
      </w:r>
      <w:r w:rsidRPr="008377D1">
        <w:tab/>
        <w:t xml:space="preserve">Platební </w:t>
      </w:r>
      <w:r>
        <w:t>m</w:t>
      </w:r>
      <w:r w:rsidRPr="008377D1">
        <w:t>echanismus</w:t>
      </w:r>
      <w:bookmarkEnd w:id="7"/>
    </w:p>
    <w:p w:rsidR="00E532E4" w:rsidRPr="008377D1" w:rsidRDefault="00E532E4" w:rsidP="00E532E4">
      <w:pPr>
        <w:pStyle w:val="Nadpis4"/>
        <w:numPr>
          <w:ilvl w:val="0"/>
          <w:numId w:val="0"/>
        </w:numPr>
        <w:ind w:left="709"/>
        <w:jc w:val="left"/>
      </w:pPr>
      <w:r w:rsidRPr="008377D1">
        <w:t>Část B – Nástroj (pouze elektronická verze, soubor</w:t>
      </w:r>
      <w:r>
        <w:t xml:space="preserve"> </w:t>
      </w:r>
      <w:r w:rsidRPr="00A92CC9">
        <w:t>Vyrovnavaci_nastroj_vII.0.</w:t>
      </w:r>
      <w:r>
        <w:t>11</w:t>
      </w:r>
      <w:r w:rsidRPr="00A92CC9">
        <w:t>.xls“)</w:t>
      </w:r>
      <w:r>
        <w:t xml:space="preserve"> </w:t>
      </w:r>
      <w:r w:rsidRPr="008377D1">
        <w:t xml:space="preserve">Část C – Model (pouze elektronická verze, soubor </w:t>
      </w:r>
      <w:r w:rsidRPr="00A92CC9">
        <w:t>„Zakladni_modul_vII.0.</w:t>
      </w:r>
      <w:r>
        <w:t>11</w:t>
      </w:r>
      <w:r w:rsidRPr="00A92CC9">
        <w:t>.xls“)</w:t>
      </w:r>
    </w:p>
    <w:p w:rsidR="008B3938" w:rsidRDefault="008B3938" w:rsidP="00E532E4"/>
    <w:p w:rsidR="008B3938" w:rsidRDefault="008B3938" w:rsidP="00E532E4">
      <w:r w:rsidRPr="00FC2DCC">
        <w:rPr>
          <w:b/>
        </w:rPr>
        <w:t>Za vlastníka dne …</w:t>
      </w:r>
      <w:r>
        <w:t>…………………</w:t>
      </w:r>
      <w:proofErr w:type="gramStart"/>
      <w:r>
        <w:t>…..</w:t>
      </w:r>
      <w:r>
        <w:tab/>
      </w:r>
      <w:r w:rsidR="00FC2DCC">
        <w:t xml:space="preserve">    </w:t>
      </w:r>
      <w:r w:rsidRPr="00FC2DCC">
        <w:rPr>
          <w:b/>
        </w:rPr>
        <w:t>Za</w:t>
      </w:r>
      <w:proofErr w:type="gramEnd"/>
      <w:r w:rsidRPr="00FC2DCC">
        <w:rPr>
          <w:b/>
        </w:rPr>
        <w:t xml:space="preserve"> provozovatele dne</w:t>
      </w:r>
      <w:r>
        <w:t xml:space="preserve"> ………………………..</w:t>
      </w:r>
    </w:p>
    <w:p w:rsidR="00FC2DCC" w:rsidRDefault="00FC2DCC" w:rsidP="00E532E4"/>
    <w:p w:rsidR="00FC2DCC" w:rsidRDefault="00FC2DCC" w:rsidP="00E532E4"/>
    <w:p w:rsidR="008B3938" w:rsidRDefault="00FC2DCC" w:rsidP="00E532E4">
      <w:r w:rsidRPr="00FC2DCC">
        <w:rPr>
          <w:b/>
        </w:rPr>
        <w:t xml:space="preserve">……………………………………  </w:t>
      </w:r>
      <w:r>
        <w:t xml:space="preserve">                      </w:t>
      </w:r>
      <w:r w:rsidRPr="00FC2DCC">
        <w:rPr>
          <w:b/>
        </w:rPr>
        <w:t xml:space="preserve">  ……………………………………</w:t>
      </w:r>
      <w:proofErr w:type="gramStart"/>
      <w:r w:rsidRPr="00FC2DCC">
        <w:rPr>
          <w:b/>
        </w:rPr>
        <w:t xml:space="preserve">…...     </w:t>
      </w:r>
      <w:r>
        <w:t>…</w:t>
      </w:r>
      <w:proofErr w:type="gramEnd"/>
      <w:r>
        <w:t xml:space="preserve">………………………. </w:t>
      </w:r>
      <w:r>
        <w:tab/>
      </w:r>
      <w:r>
        <w:tab/>
      </w:r>
      <w:r>
        <w:tab/>
      </w:r>
      <w:r>
        <w:tab/>
        <w:t xml:space="preserve">     </w:t>
      </w:r>
      <w:proofErr w:type="spellStart"/>
      <w:r>
        <w:t>Pierre</w:t>
      </w:r>
      <w:proofErr w:type="spellEnd"/>
      <w:r>
        <w:t xml:space="preserve">-Alexandre </w:t>
      </w:r>
      <w:proofErr w:type="spellStart"/>
      <w:r>
        <w:t>Segre</w:t>
      </w:r>
      <w:proofErr w:type="spellEnd"/>
    </w:p>
    <w:p w:rsidR="00FC2DCC" w:rsidRDefault="00FC2DCC" w:rsidP="00E532E4">
      <w:r>
        <w:t xml:space="preserve">       starosta Milan </w:t>
      </w:r>
      <w:proofErr w:type="gramStart"/>
      <w:r>
        <w:t>Vácha                                                    ředitel</w:t>
      </w:r>
      <w:proofErr w:type="gramEnd"/>
      <w:r>
        <w:t xml:space="preserve"> společnosti </w:t>
      </w:r>
    </w:p>
    <w:p w:rsidR="00E532E4" w:rsidRDefault="00E532E4" w:rsidP="00E532E4"/>
    <w:p w:rsidR="00E532E4" w:rsidRDefault="00E532E4" w:rsidP="00E532E4"/>
    <w:p w:rsidR="00E532E4" w:rsidRPr="008B3938" w:rsidRDefault="00E532E4" w:rsidP="00E532E4"/>
    <w:sectPr w:rsidR="00E532E4" w:rsidRPr="008B3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FE46F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3F10194F"/>
    <w:multiLevelType w:val="multilevel"/>
    <w:tmpl w:val="C61CB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D2E080F"/>
    <w:multiLevelType w:val="multilevel"/>
    <w:tmpl w:val="95AC8E9E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i w:val="0"/>
        <w:color w:val="auto"/>
        <w:sz w:val="24"/>
        <w:szCs w:val="2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44"/>
        </w:tabs>
        <w:ind w:left="0" w:firstLine="0"/>
      </w:pPr>
      <w:rPr>
        <w:rFonts w:cs="Times New Roman" w:hint="default"/>
        <w:b/>
        <w:bCs/>
        <w:i w:val="0"/>
        <w:strike w:val="0"/>
        <w:color w:val="auto"/>
        <w:sz w:val="22"/>
        <w:szCs w:val="20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0" w:firstLine="0"/>
      </w:pPr>
      <w:rPr>
        <w:rFonts w:cs="Times New Roman" w:hint="default"/>
        <w:b w:val="0"/>
        <w:color w:val="auto"/>
        <w:sz w:val="20"/>
        <w:szCs w:val="20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0"/>
        </w:tabs>
        <w:ind w:left="0" w:firstLine="0"/>
      </w:pPr>
      <w:rPr>
        <w:rFonts w:cs="Times New Roman" w:hint="default"/>
        <w:b w:val="0"/>
        <w:bCs/>
        <w:color w:val="auto"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2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77"/>
    <w:rsid w:val="000A3785"/>
    <w:rsid w:val="000B387C"/>
    <w:rsid w:val="000C306D"/>
    <w:rsid w:val="000E1AC4"/>
    <w:rsid w:val="00120D03"/>
    <w:rsid w:val="00144BE0"/>
    <w:rsid w:val="0034650D"/>
    <w:rsid w:val="005A4BB2"/>
    <w:rsid w:val="006D4F73"/>
    <w:rsid w:val="00791649"/>
    <w:rsid w:val="00863AFB"/>
    <w:rsid w:val="008B3938"/>
    <w:rsid w:val="008C7587"/>
    <w:rsid w:val="00902C22"/>
    <w:rsid w:val="009C0678"/>
    <w:rsid w:val="00B945F6"/>
    <w:rsid w:val="00C16877"/>
    <w:rsid w:val="00DF7003"/>
    <w:rsid w:val="00E532E4"/>
    <w:rsid w:val="00F24ACF"/>
    <w:rsid w:val="00FC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F9678-A5B6-4AF5-A8AB-9180D19A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877"/>
    <w:pPr>
      <w:spacing w:after="12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16877"/>
    <w:pPr>
      <w:keepNext/>
      <w:numPr>
        <w:numId w:val="1"/>
      </w:numPr>
      <w:tabs>
        <w:tab w:val="clear" w:pos="0"/>
        <w:tab w:val="num" w:pos="720"/>
      </w:tabs>
      <w:spacing w:before="480" w:after="240" w:line="264" w:lineRule="auto"/>
      <w:ind w:left="720" w:hanging="720"/>
      <w:jc w:val="both"/>
      <w:outlineLvl w:val="0"/>
    </w:pPr>
    <w:rPr>
      <w:rFonts w:cs="Arial"/>
      <w:b/>
      <w:bCs/>
      <w:caps/>
      <w:color w:val="000000"/>
      <w:kern w:val="32"/>
      <w:sz w:val="24"/>
      <w:szCs w:val="40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C16877"/>
    <w:pPr>
      <w:keepNext/>
      <w:numPr>
        <w:ilvl w:val="1"/>
        <w:numId w:val="1"/>
      </w:numPr>
      <w:spacing w:before="240" w:line="264" w:lineRule="auto"/>
      <w:jc w:val="both"/>
      <w:outlineLvl w:val="1"/>
    </w:pPr>
    <w:rPr>
      <w:rFonts w:cs="Arial"/>
      <w:b/>
      <w:bCs/>
      <w:iCs/>
      <w:color w:val="000000"/>
      <w:kern w:val="3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465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C16877"/>
    <w:pPr>
      <w:numPr>
        <w:ilvl w:val="3"/>
        <w:numId w:val="1"/>
      </w:numPr>
      <w:tabs>
        <w:tab w:val="clear" w:pos="0"/>
        <w:tab w:val="left" w:pos="1077"/>
      </w:tabs>
      <w:spacing w:before="120" w:line="264" w:lineRule="auto"/>
      <w:ind w:left="1078" w:hanging="369"/>
      <w:jc w:val="both"/>
      <w:outlineLvl w:val="3"/>
    </w:pPr>
    <w:rPr>
      <w:rFonts w:cs="Arial"/>
      <w:bCs/>
      <w:iCs/>
      <w:color w:val="000000"/>
      <w:kern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6877"/>
    <w:rPr>
      <w:rFonts w:ascii="Arial" w:eastAsia="Times New Roman" w:hAnsi="Arial" w:cs="Arial"/>
      <w:b/>
      <w:bCs/>
      <w:caps/>
      <w:color w:val="000000"/>
      <w:kern w:val="32"/>
      <w:sz w:val="24"/>
      <w:szCs w:val="40"/>
    </w:rPr>
  </w:style>
  <w:style w:type="character" w:customStyle="1" w:styleId="Nadpis2Char">
    <w:name w:val="Nadpis 2 Char"/>
    <w:basedOn w:val="Standardnpsmoodstavce"/>
    <w:link w:val="Nadpis2"/>
    <w:rsid w:val="00C16877"/>
    <w:rPr>
      <w:rFonts w:ascii="Arial" w:eastAsia="Times New Roman" w:hAnsi="Arial" w:cs="Arial"/>
      <w:b/>
      <w:bCs/>
      <w:iCs/>
      <w:color w:val="000000"/>
      <w:kern w:val="32"/>
      <w:szCs w:val="20"/>
    </w:rPr>
  </w:style>
  <w:style w:type="character" w:customStyle="1" w:styleId="Nadpis4Char">
    <w:name w:val="Nadpis 4 Char"/>
    <w:basedOn w:val="Standardnpsmoodstavce"/>
    <w:link w:val="Nadpis4"/>
    <w:rsid w:val="00C16877"/>
    <w:rPr>
      <w:rFonts w:ascii="Arial" w:eastAsia="Times New Roman" w:hAnsi="Arial" w:cs="Arial"/>
      <w:bCs/>
      <w:iCs/>
      <w:color w:val="000000"/>
      <w:kern w:val="32"/>
      <w:szCs w:val="20"/>
    </w:rPr>
  </w:style>
  <w:style w:type="paragraph" w:styleId="Odstavecseseznamem">
    <w:name w:val="List Paragraph"/>
    <w:basedOn w:val="Normln"/>
    <w:uiPriority w:val="34"/>
    <w:qFormat/>
    <w:rsid w:val="00C168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4650D"/>
    <w:rPr>
      <w:rFonts w:asciiTheme="majorHAnsi" w:eastAsiaTheme="majorEastAsia" w:hAnsiTheme="majorHAnsi" w:cstheme="majorBidi"/>
      <w:b/>
      <w:bCs/>
      <w:color w:val="4F81BD" w:themeColor="accent1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4BB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4BB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1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3195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Kokrment</dc:creator>
  <cp:lastModifiedBy>Nikola Alferyová</cp:lastModifiedBy>
  <cp:revision>2</cp:revision>
  <dcterms:created xsi:type="dcterms:W3CDTF">2015-06-19T08:30:00Z</dcterms:created>
  <dcterms:modified xsi:type="dcterms:W3CDTF">2015-06-19T08:30:00Z</dcterms:modified>
</cp:coreProperties>
</file>