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613529A1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r w:rsidR="00E021DB">
        <w:rPr>
          <w:rFonts w:ascii="Times New Roman" w:hAnsi="Times New Roman"/>
          <w:b/>
          <w:sz w:val="28"/>
          <w:szCs w:val="24"/>
        </w:rPr>
        <w:t>…….</w:t>
      </w:r>
      <w:r w:rsidR="005F6DDE">
        <w:rPr>
          <w:rFonts w:ascii="Times New Roman" w:hAnsi="Times New Roman"/>
          <w:b/>
          <w:sz w:val="28"/>
          <w:szCs w:val="24"/>
        </w:rPr>
        <w:t>/201</w:t>
      </w:r>
      <w:r w:rsidR="00E86696">
        <w:rPr>
          <w:rFonts w:ascii="Times New Roman" w:hAnsi="Times New Roman"/>
          <w:b/>
          <w:sz w:val="28"/>
          <w:szCs w:val="24"/>
        </w:rPr>
        <w:t>9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40763E47" w:rsidR="00652320" w:rsidRPr="00BC061B" w:rsidRDefault="00652320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4F8AF701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 xml:space="preserve">starostou </w:t>
      </w:r>
      <w:r w:rsidR="00E86696">
        <w:rPr>
          <w:rFonts w:ascii="Times New Roman" w:hAnsi="Times New Roman"/>
          <w:szCs w:val="24"/>
        </w:rPr>
        <w:t xml:space="preserve">Bc. </w:t>
      </w:r>
      <w:r w:rsidR="00AD1DC5">
        <w:rPr>
          <w:rFonts w:ascii="Times New Roman" w:hAnsi="Times New Roman"/>
          <w:szCs w:val="24"/>
        </w:rPr>
        <w:t>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4DEBB80C" w14:textId="30A104E1" w:rsidR="005D4641" w:rsidRPr="001D34ED" w:rsidRDefault="00E86696" w:rsidP="005D4641">
      <w:pPr>
        <w:pStyle w:val="Odstavecseseznamem"/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……………………….</w:t>
      </w:r>
      <w:r w:rsidR="005D4641">
        <w:rPr>
          <w:rFonts w:ascii="Times New Roman" w:hAnsi="Times New Roman" w:cs="Times New Roman"/>
          <w:b/>
        </w:rPr>
        <w:t>.</w:t>
      </w:r>
    </w:p>
    <w:p w14:paraId="67009640" w14:textId="47133E01" w:rsidR="005D4641" w:rsidRPr="00BC061B" w:rsidRDefault="005D4641" w:rsidP="005D4641">
      <w:pPr>
        <w:spacing w:before="60"/>
        <w:ind w:firstLine="426"/>
        <w:jc w:val="both"/>
        <w:rPr>
          <w:i/>
        </w:rPr>
      </w:pPr>
      <w:r w:rsidRPr="00BC061B">
        <w:t>sídlo:</w:t>
      </w:r>
      <w:r w:rsidRPr="00BC061B">
        <w:rPr>
          <w:i/>
        </w:rPr>
        <w:t xml:space="preserve"> </w:t>
      </w:r>
      <w:r w:rsidR="00E86696">
        <w:t>…………………</w:t>
      </w:r>
    </w:p>
    <w:p w14:paraId="1C90F2B0" w14:textId="5E74FD45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>
        <w:t xml:space="preserve"> </w:t>
      </w:r>
      <w:r w:rsidR="00E86696">
        <w:rPr>
          <w:rStyle w:val="nowrap"/>
          <w:b/>
          <w:bCs/>
        </w:rPr>
        <w:t>……………………</w:t>
      </w:r>
    </w:p>
    <w:p w14:paraId="7FBB10D1" w14:textId="4895A01D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zastoupená:</w:t>
      </w:r>
      <w:r w:rsidRPr="00BC061B">
        <w:rPr>
          <w:i/>
        </w:rPr>
        <w:t xml:space="preserve"> </w:t>
      </w:r>
      <w:r w:rsidR="004A6B9D">
        <w:t xml:space="preserve">sekretářem </w:t>
      </w:r>
      <w:r w:rsidR="00E86696">
        <w:t>…………………</w:t>
      </w:r>
    </w:p>
    <w:p w14:paraId="46811BAF" w14:textId="44B0ED01" w:rsidR="005D4641" w:rsidRPr="00BC061B" w:rsidRDefault="005D4641" w:rsidP="005D4641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E86696">
        <w:rPr>
          <w:rFonts w:eastAsiaTheme="minorHAnsi"/>
          <w:lang w:eastAsia="en-US"/>
        </w:rPr>
        <w:t>……………………….</w:t>
      </w:r>
      <w:r w:rsidRPr="00BC061B">
        <w:t xml:space="preserve">  </w:t>
      </w:r>
    </w:p>
    <w:p w14:paraId="620FE8DB" w14:textId="2359EF60" w:rsidR="005D4641" w:rsidRPr="00BC061B" w:rsidRDefault="005D4641" w:rsidP="005D4641">
      <w:pPr>
        <w:spacing w:before="60"/>
        <w:ind w:left="426"/>
        <w:jc w:val="both"/>
        <w:rPr>
          <w:color w:val="00B050"/>
        </w:rPr>
      </w:pPr>
      <w:r w:rsidRPr="00BC061B">
        <w:t xml:space="preserve">zapsaný v obchodním rejstříku u </w:t>
      </w:r>
      <w:r w:rsidR="00E86696">
        <w:t>…………….</w:t>
      </w:r>
      <w:r>
        <w:t xml:space="preserve"> </w:t>
      </w:r>
      <w:r w:rsidRPr="00E04859">
        <w:t xml:space="preserve">vedená u </w:t>
      </w:r>
      <w:r w:rsidR="00E86696">
        <w:t>……………………</w:t>
      </w:r>
      <w:r w:rsidRPr="00BC061B">
        <w:rPr>
          <w:i/>
          <w:color w:val="00B050"/>
        </w:rPr>
        <w:br/>
      </w:r>
      <w:r w:rsidRPr="00BC061B">
        <w:t>(dále jen „</w:t>
      </w:r>
      <w:r w:rsidRPr="00BC061B">
        <w:rPr>
          <w:b/>
        </w:rPr>
        <w:t>příjemce“</w:t>
      </w:r>
      <w:r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06DCC607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E86696">
        <w:rPr>
          <w:rFonts w:ascii="Times New Roman" w:hAnsi="Times New Roman" w:cs="Times New Roman"/>
        </w:rPr>
        <w:t>………………..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E86696">
        <w:rPr>
          <w:rFonts w:ascii="Times New Roman" w:hAnsi="Times New Roman" w:cs="Times New Roman"/>
        </w:rPr>
        <w:t>……………..</w:t>
      </w:r>
      <w:r w:rsidR="009443B2">
        <w:rPr>
          <w:rFonts w:ascii="Times New Roman" w:hAnsi="Times New Roman" w:cs="Times New Roman"/>
        </w:rPr>
        <w:t xml:space="preserve"> tisíc </w:t>
      </w:r>
      <w:r w:rsidR="003600DF" w:rsidRPr="00A02FAD">
        <w:rPr>
          <w:rFonts w:ascii="Times New Roman" w:hAnsi="Times New Roman" w:cs="Times New Roman"/>
        </w:rPr>
        <w:t>korun</w:t>
      </w:r>
      <w:r w:rsidR="004E5A4C">
        <w:rPr>
          <w:rFonts w:ascii="Times New Roman" w:hAnsi="Times New Roman" w:cs="Times New Roman"/>
        </w:rPr>
        <w:t xml:space="preserve"> </w:t>
      </w:r>
      <w:r w:rsidR="003600DF" w:rsidRPr="00A02FAD">
        <w:rPr>
          <w:rFonts w:ascii="Times New Roman" w:hAnsi="Times New Roman" w:cs="Times New Roman"/>
        </w:rPr>
        <w:t>českých</w:t>
      </w:r>
      <w:r w:rsidR="00BC061B" w:rsidRPr="00A02FAD">
        <w:rPr>
          <w:rFonts w:ascii="Times New Roman" w:hAnsi="Times New Roman" w:cs="Times New Roman"/>
        </w:rPr>
        <w:t>)</w:t>
      </w:r>
      <w:r w:rsidR="004E5A4C">
        <w:rPr>
          <w:rFonts w:ascii="Times New Roman" w:hAnsi="Times New Roman" w:cs="Times New Roman"/>
        </w:rPr>
        <w:t xml:space="preserve">. </w:t>
      </w:r>
    </w:p>
    <w:p w14:paraId="44A49351" w14:textId="01F907E9" w:rsidR="0064579D" w:rsidRPr="0064579D" w:rsidRDefault="003A6AAC" w:rsidP="0064579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9443B2">
        <w:rPr>
          <w:rFonts w:ascii="Times New Roman" w:hAnsi="Times New Roman" w:cs="Times New Roman"/>
        </w:rPr>
        <w:t>pokrytí nákladů spojených s</w:t>
      </w:r>
      <w:r w:rsidR="00E021DB">
        <w:rPr>
          <w:rFonts w:ascii="Times New Roman" w:hAnsi="Times New Roman" w:cs="Times New Roman"/>
        </w:rPr>
        <w:t> rekonstrukcí toalet, zázemí pro fotbalisty a elektro rozvodů</w:t>
      </w:r>
      <w:r w:rsidR="009443B2">
        <w:rPr>
          <w:rFonts w:ascii="Times New Roman" w:hAnsi="Times New Roman" w:cs="Times New Roman"/>
        </w:rPr>
        <w:t>.</w:t>
      </w:r>
    </w:p>
    <w:p w14:paraId="78B4732C" w14:textId="7B824C40" w:rsidR="00BC061B" w:rsidRPr="0064579D" w:rsidRDefault="00BC061B" w:rsidP="0064579D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64579D">
        <w:rPr>
          <w:rFonts w:ascii="Times New Roman" w:hAnsi="Times New Roman" w:cs="Times New Roman"/>
          <w:i/>
        </w:rPr>
        <w:t>dle žádosti příjemce ze dne </w:t>
      </w:r>
      <w:r w:rsidR="00E86696">
        <w:rPr>
          <w:rFonts w:ascii="Times New Roman" w:hAnsi="Times New Roman" w:cs="Times New Roman"/>
          <w:i/>
        </w:rPr>
        <w:t>………………..</w:t>
      </w:r>
      <w:r w:rsidR="00E417B3">
        <w:rPr>
          <w:rFonts w:ascii="Times New Roman" w:hAnsi="Times New Roman" w:cs="Times New Roman"/>
          <w:i/>
        </w:rPr>
        <w:t xml:space="preserve"> a poskytovatelem schváleného rozpočtu</w:t>
      </w:r>
      <w:r w:rsidR="00CC32FD">
        <w:rPr>
          <w:rFonts w:ascii="Times New Roman" w:hAnsi="Times New Roman" w:cs="Times New Roman"/>
          <w:i/>
        </w:rPr>
        <w:t>.</w:t>
      </w:r>
    </w:p>
    <w:p w14:paraId="3DB35CA4" w14:textId="29FED3B8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</w:t>
      </w:r>
      <w:r w:rsidR="00E86696">
        <w:rPr>
          <w:rFonts w:ascii="Times New Roman" w:hAnsi="Times New Roman" w:cs="Times New Roman"/>
          <w:i/>
        </w:rPr>
        <w:t>9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24F5CA95" w14:textId="77777777" w:rsidR="00BC061B" w:rsidRPr="00BC061B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7F8B1FD2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</w:t>
      </w:r>
      <w:r w:rsidR="00E86696">
        <w:rPr>
          <w:rFonts w:ascii="Times New Roman" w:hAnsi="Times New Roman" w:cs="Times New Roman"/>
        </w:rPr>
        <w:t>9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lastRenderedPageBreak/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0A93606A" w14:textId="77777777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52E6850B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708ADC39" w14:textId="77777777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1A2F5FC2" w14:textId="7777777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5E18BE32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EC7DBD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Smlouva zaniká také z důvodů uvedených v § 167 odst. 1 písm. b) až e) zákona č. 500/2004 </w:t>
      </w:r>
      <w:r w:rsidRPr="00BC061B">
        <w:rPr>
          <w:rFonts w:ascii="Times New Roman" w:hAnsi="Times New Roman"/>
          <w:szCs w:val="24"/>
        </w:rPr>
        <w:lastRenderedPageBreak/>
        <w:t>Sb., správní řád, ve znění pozdějších předpisů. Návrh na zrušení Smlouvy musí být učiněn 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7B0D28CE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9443B2">
        <w:t xml:space="preserve">dne </w:t>
      </w:r>
      <w:r w:rsidR="00E021DB">
        <w:t xml:space="preserve">                      </w:t>
      </w:r>
      <w:r w:rsidR="009443B2">
        <w:t xml:space="preserve">,  č. </w:t>
      </w:r>
      <w:r w:rsidR="00E021DB">
        <w:t xml:space="preserve">                 </w:t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0A855A35" w:rsidR="00492F4B" w:rsidRDefault="00E711A9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1416" w:hanging="7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13B70"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5F6DDE">
        <w:rPr>
          <w:rFonts w:ascii="Times New Roman" w:hAnsi="Times New Roman"/>
          <w:szCs w:val="24"/>
        </w:rPr>
        <w:t xml:space="preserve">    </w:t>
      </w:r>
      <w:r w:rsidR="00E86696">
        <w:rPr>
          <w:rFonts w:ascii="Times New Roman" w:hAnsi="Times New Roman"/>
          <w:szCs w:val="24"/>
        </w:rPr>
        <w:t>…………………</w:t>
      </w:r>
      <w:r w:rsidR="008B567C">
        <w:rPr>
          <w:rStyle w:val="Siln"/>
          <w:rFonts w:ascii="Times New Roman" w:hAnsi="Times New Roman"/>
          <w:b w:val="0"/>
        </w:rPr>
        <w:t xml:space="preserve">             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9443B2">
        <w:rPr>
          <w:rFonts w:ascii="Times New Roman" w:hAnsi="Times New Roman"/>
          <w:b/>
          <w:i/>
          <w:szCs w:val="24"/>
        </w:rPr>
        <w:tab/>
      </w:r>
      <w:r w:rsidR="009443B2">
        <w:rPr>
          <w:rFonts w:ascii="Times New Roman" w:hAnsi="Times New Roman"/>
          <w:b/>
          <w:i/>
          <w:szCs w:val="24"/>
        </w:rPr>
        <w:tab/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E86696">
        <w:rPr>
          <w:rFonts w:ascii="Times New Roman" w:hAnsi="Times New Roman"/>
          <w:b/>
          <w:i/>
          <w:szCs w:val="24"/>
        </w:rPr>
        <w:t xml:space="preserve">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</w:t>
      </w:r>
      <w:r w:rsidRPr="00F13B70">
        <w:rPr>
          <w:rFonts w:ascii="Times New Roman" w:hAnsi="Times New Roman"/>
          <w:szCs w:val="24"/>
        </w:rPr>
        <w:t>Obec Psáry</w:t>
      </w:r>
    </w:p>
    <w:p w14:paraId="07C44776" w14:textId="78B94BDA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A6B9D">
        <w:rPr>
          <w:rFonts w:ascii="Times New Roman" w:hAnsi="Times New Roman"/>
          <w:szCs w:val="24"/>
        </w:rPr>
        <w:t xml:space="preserve">          </w:t>
      </w:r>
      <w:r w:rsidR="005F6DDE">
        <w:rPr>
          <w:rFonts w:ascii="Times New Roman" w:hAnsi="Times New Roman"/>
          <w:szCs w:val="24"/>
        </w:rPr>
        <w:t xml:space="preserve">  </w:t>
      </w:r>
      <w:r w:rsidR="00E86696">
        <w:rPr>
          <w:rFonts w:ascii="Times New Roman" w:hAnsi="Times New Roman"/>
          <w:szCs w:val="24"/>
        </w:rPr>
        <w:t>……………….</w:t>
      </w:r>
      <w:bookmarkStart w:id="0" w:name="_GoBack"/>
      <w:bookmarkEnd w:id="0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4A6B9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="00E86696">
        <w:rPr>
          <w:rFonts w:ascii="Times New Roman" w:hAnsi="Times New Roman"/>
          <w:szCs w:val="24"/>
        </w:rPr>
        <w:t xml:space="preserve">Bc. </w:t>
      </w:r>
      <w:r>
        <w:rPr>
          <w:rFonts w:ascii="Times New Roman" w:hAnsi="Times New Roman"/>
          <w:szCs w:val="24"/>
        </w:rPr>
        <w:t>Milan Vácha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CEC2D" w14:textId="77777777" w:rsidR="00AA421B" w:rsidRDefault="00AA421B" w:rsidP="003A6AAC">
      <w:r>
        <w:separator/>
      </w:r>
    </w:p>
  </w:endnote>
  <w:endnote w:type="continuationSeparator" w:id="0">
    <w:p w14:paraId="508B9589" w14:textId="77777777" w:rsidR="00AA421B" w:rsidRDefault="00AA421B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8669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8669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F9DC2" w14:textId="77777777" w:rsidR="00AA421B" w:rsidRDefault="00AA421B" w:rsidP="003A6AAC">
      <w:r>
        <w:separator/>
      </w:r>
    </w:p>
  </w:footnote>
  <w:footnote w:type="continuationSeparator" w:id="0">
    <w:p w14:paraId="3D6D4D2D" w14:textId="77777777" w:rsidR="00AA421B" w:rsidRDefault="00AA421B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0B31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A6B9D"/>
    <w:rsid w:val="004B4F07"/>
    <w:rsid w:val="004B50AF"/>
    <w:rsid w:val="004C121A"/>
    <w:rsid w:val="004E3005"/>
    <w:rsid w:val="004E5A4C"/>
    <w:rsid w:val="00523E29"/>
    <w:rsid w:val="0055649E"/>
    <w:rsid w:val="00557EA3"/>
    <w:rsid w:val="0056756A"/>
    <w:rsid w:val="00583D75"/>
    <w:rsid w:val="0058633A"/>
    <w:rsid w:val="005A2059"/>
    <w:rsid w:val="005D4641"/>
    <w:rsid w:val="005F47E8"/>
    <w:rsid w:val="005F6DDE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443B2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52EB3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E79FB"/>
    <w:rsid w:val="00E00C7E"/>
    <w:rsid w:val="00E021DB"/>
    <w:rsid w:val="00E03AED"/>
    <w:rsid w:val="00E04859"/>
    <w:rsid w:val="00E20B98"/>
    <w:rsid w:val="00E417B3"/>
    <w:rsid w:val="00E5712B"/>
    <w:rsid w:val="00E647B7"/>
    <w:rsid w:val="00E711A9"/>
    <w:rsid w:val="00E86696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57DB2"/>
    <w:rsid w:val="00F86280"/>
    <w:rsid w:val="00F9491D"/>
    <w:rsid w:val="00FA77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  <w:style w:type="paragraph" w:styleId="Revize">
    <w:name w:val="Revision"/>
    <w:hidden/>
    <w:uiPriority w:val="99"/>
    <w:semiHidden/>
    <w:rsid w:val="000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38202-9D4C-44B4-9E8F-111C6BEC3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1395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2018-02-19T15:50:00Z</cp:lastPrinted>
  <dcterms:created xsi:type="dcterms:W3CDTF">2019-02-14T08:24:00Z</dcterms:created>
  <dcterms:modified xsi:type="dcterms:W3CDTF">2019-02-14T08:24:00Z</dcterms:modified>
</cp:coreProperties>
</file>