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DFE" w:rsidRDefault="00560DFE" w:rsidP="006C574D">
      <w:pPr>
        <w:outlineLvl w:val="0"/>
      </w:pPr>
      <w:bookmarkStart w:id="0" w:name="_GoBack"/>
      <w:bookmarkEnd w:id="0"/>
      <w:r>
        <w:t>Níže uvedeného dne, měsíce a roku uzavřely</w:t>
      </w:r>
    </w:p>
    <w:p w:rsidR="00560DFE" w:rsidRDefault="00560DFE" w:rsidP="00CC0349">
      <w:r>
        <w:t>smluvní strany</w:t>
      </w:r>
    </w:p>
    <w:p w:rsidR="00560DFE" w:rsidRDefault="00560DFE" w:rsidP="00CC0349">
      <w:pPr>
        <w:rPr>
          <w:b/>
        </w:rPr>
      </w:pPr>
    </w:p>
    <w:p w:rsidR="00560DFE" w:rsidRDefault="00560DFE" w:rsidP="006C574D">
      <w:pPr>
        <w:outlineLvl w:val="0"/>
      </w:pPr>
      <w:r>
        <w:rPr>
          <w:b/>
        </w:rPr>
        <w:t xml:space="preserve">STAVING Olomouc, s.r.o., </w:t>
      </w:r>
      <w:r>
        <w:t>IČ: 47974630</w:t>
      </w:r>
    </w:p>
    <w:p w:rsidR="00560DFE" w:rsidRDefault="00560DFE" w:rsidP="00CC0349">
      <w:r>
        <w:t>sídlem Pavlovická 20/43, Pavlovičky, 779 00 Olomo</w:t>
      </w:r>
      <w:r w:rsidR="00AC7652">
        <w:t>u</w:t>
      </w:r>
      <w:r>
        <w:t>c</w:t>
      </w:r>
    </w:p>
    <w:p w:rsidR="00560DFE" w:rsidRDefault="00560DFE" w:rsidP="00CC0349">
      <w:r>
        <w:t xml:space="preserve">jednající </w:t>
      </w:r>
      <w:r w:rsidR="008D2223">
        <w:t xml:space="preserve">Milanem </w:t>
      </w:r>
      <w:proofErr w:type="spellStart"/>
      <w:r w:rsidR="008D2223">
        <w:t>Zetochou</w:t>
      </w:r>
      <w:proofErr w:type="spellEnd"/>
      <w:r>
        <w:t>, jednatelem</w:t>
      </w:r>
    </w:p>
    <w:p w:rsidR="00560DFE" w:rsidRDefault="00560DFE" w:rsidP="00CC0349">
      <w:r>
        <w:t>jako prodávající – na straně jedné</w:t>
      </w:r>
    </w:p>
    <w:p w:rsidR="00560DFE" w:rsidRDefault="00560DFE" w:rsidP="00CC0349">
      <w:pPr>
        <w:rPr>
          <w:b/>
        </w:rPr>
      </w:pPr>
    </w:p>
    <w:p w:rsidR="00560DFE" w:rsidRDefault="00560DFE" w:rsidP="00CC0349">
      <w:pPr>
        <w:rPr>
          <w:b/>
        </w:rPr>
      </w:pPr>
      <w:r>
        <w:rPr>
          <w:b/>
        </w:rPr>
        <w:t>a</w:t>
      </w:r>
    </w:p>
    <w:p w:rsidR="00560DFE" w:rsidRDefault="00560DFE" w:rsidP="00CC0349">
      <w:pPr>
        <w:rPr>
          <w:b/>
        </w:rPr>
      </w:pPr>
    </w:p>
    <w:p w:rsidR="00560DFE" w:rsidRDefault="00560DFE" w:rsidP="006C574D">
      <w:pPr>
        <w:outlineLvl w:val="0"/>
      </w:pPr>
      <w:r>
        <w:rPr>
          <w:b/>
        </w:rPr>
        <w:t xml:space="preserve">Obec </w:t>
      </w:r>
      <w:r w:rsidR="008A0FD3">
        <w:rPr>
          <w:b/>
        </w:rPr>
        <w:t>Psáry</w:t>
      </w:r>
      <w:r>
        <w:t>, IČ : 00241</w:t>
      </w:r>
      <w:r w:rsidR="008A0FD3">
        <w:t>580</w:t>
      </w:r>
    </w:p>
    <w:p w:rsidR="00560DFE" w:rsidRDefault="00560DFE" w:rsidP="00CC0349">
      <w:r>
        <w:t xml:space="preserve">sídlem </w:t>
      </w:r>
      <w:r w:rsidR="008A0FD3">
        <w:t>Pražská 137, Dolní Jirčany, 25244 Psáry</w:t>
      </w:r>
      <w:r>
        <w:t xml:space="preserve"> </w:t>
      </w:r>
    </w:p>
    <w:p w:rsidR="00560DFE" w:rsidRDefault="00560DFE" w:rsidP="00CC0349">
      <w:r>
        <w:t xml:space="preserve">jednající </w:t>
      </w:r>
      <w:r w:rsidR="00177FC5">
        <w:t xml:space="preserve">Bc. </w:t>
      </w:r>
      <w:r w:rsidR="008A0FD3">
        <w:t>Milanem Váchou</w:t>
      </w:r>
      <w:r>
        <w:t>, starostou</w:t>
      </w:r>
    </w:p>
    <w:p w:rsidR="00560DFE" w:rsidRDefault="00560DFE" w:rsidP="00CC0349">
      <w:r>
        <w:t>jako kupující – na straně druhé</w:t>
      </w:r>
    </w:p>
    <w:p w:rsidR="00560DFE" w:rsidRDefault="00560DFE" w:rsidP="00CC0349"/>
    <w:p w:rsidR="00560DFE" w:rsidRPr="00561C8E" w:rsidRDefault="00560DFE" w:rsidP="00561C8E">
      <w:pPr>
        <w:ind w:left="708" w:hanging="708"/>
      </w:pPr>
      <w:r w:rsidRPr="00561C8E">
        <w:t xml:space="preserve">v souladu s ustanovením § </w:t>
      </w:r>
      <w:smartTag w:uri="urn:schemas-microsoft-com:office:smarttags" w:element="metricconverter">
        <w:smartTagPr>
          <w:attr w:name="ProductID" w:val="2079 a"/>
        </w:smartTagPr>
        <w:r w:rsidRPr="00561C8E">
          <w:t>2079 a</w:t>
        </w:r>
      </w:smartTag>
      <w:r w:rsidRPr="00561C8E">
        <w:t xml:space="preserve"> násl. zákona č. 89/2012 Sb., občanského zákoníku</w:t>
      </w:r>
      <w:r>
        <w:t xml:space="preserve"> tuto</w:t>
      </w:r>
    </w:p>
    <w:p w:rsidR="00560DFE" w:rsidRDefault="00560DFE" w:rsidP="00CC0349"/>
    <w:p w:rsidR="00560DFE" w:rsidRDefault="00560DFE" w:rsidP="00B21ED8"/>
    <w:p w:rsidR="00560DFE" w:rsidRPr="006C574D" w:rsidRDefault="00560DFE" w:rsidP="000F3054">
      <w:pPr>
        <w:widowControl w:val="0"/>
        <w:jc w:val="center"/>
        <w:rPr>
          <w:b/>
          <w:caps/>
          <w:sz w:val="28"/>
        </w:rPr>
      </w:pPr>
      <w:r>
        <w:rPr>
          <w:b/>
          <w:caps/>
          <w:sz w:val="28"/>
        </w:rPr>
        <w:t>Kupní smlouvU</w:t>
      </w:r>
    </w:p>
    <w:p w:rsidR="00560DFE" w:rsidRDefault="00560DFE" w:rsidP="008C3EF8">
      <w:pPr>
        <w:widowControl w:val="0"/>
        <w:rPr>
          <w:b/>
        </w:rPr>
      </w:pPr>
    </w:p>
    <w:p w:rsidR="00560DFE" w:rsidRDefault="00560DFE" w:rsidP="006C574D">
      <w:pPr>
        <w:widowControl w:val="0"/>
        <w:jc w:val="center"/>
        <w:outlineLvl w:val="0"/>
        <w:rPr>
          <w:b/>
        </w:rPr>
      </w:pPr>
      <w:r>
        <w:rPr>
          <w:b/>
        </w:rPr>
        <w:t>I.</w:t>
      </w:r>
    </w:p>
    <w:p w:rsidR="00560DFE" w:rsidRDefault="00560DFE" w:rsidP="00CC0349">
      <w:pPr>
        <w:widowControl w:val="0"/>
        <w:jc w:val="center"/>
        <w:rPr>
          <w:b/>
        </w:rPr>
      </w:pPr>
      <w:r>
        <w:rPr>
          <w:b/>
        </w:rPr>
        <w:t>Předmět koupě</w:t>
      </w:r>
    </w:p>
    <w:p w:rsidR="009950BE" w:rsidRDefault="009950BE" w:rsidP="00CC0349">
      <w:pPr>
        <w:widowControl w:val="0"/>
        <w:jc w:val="center"/>
        <w:rPr>
          <w:b/>
        </w:rPr>
      </w:pPr>
    </w:p>
    <w:p w:rsidR="00560DFE" w:rsidRDefault="00560DFE" w:rsidP="00CC0349">
      <w:pPr>
        <w:widowControl w:val="0"/>
        <w:numPr>
          <w:ilvl w:val="0"/>
          <w:numId w:val="1"/>
        </w:numPr>
        <w:tabs>
          <w:tab w:val="num" w:pos="426"/>
        </w:tabs>
        <w:overflowPunct w:val="0"/>
        <w:autoSpaceDE w:val="0"/>
        <w:autoSpaceDN w:val="0"/>
        <w:adjustRightInd w:val="0"/>
        <w:ind w:left="426"/>
        <w:jc w:val="both"/>
      </w:pPr>
      <w:r>
        <w:t xml:space="preserve">Prodávající je výlučným vlastníkem mj. nemovité věci – pozemku </w:t>
      </w:r>
      <w:proofErr w:type="spellStart"/>
      <w:proofErr w:type="gramStart"/>
      <w:r>
        <w:t>parc</w:t>
      </w:r>
      <w:proofErr w:type="gramEnd"/>
      <w:r>
        <w:t>.</w:t>
      </w:r>
      <w:proofErr w:type="gramStart"/>
      <w:r>
        <w:t>č</w:t>
      </w:r>
      <w:proofErr w:type="spellEnd"/>
      <w:r>
        <w:t>.</w:t>
      </w:r>
      <w:proofErr w:type="gramEnd"/>
      <w:r>
        <w:t xml:space="preserve"> </w:t>
      </w:r>
      <w:r w:rsidR="008A0FD3">
        <w:t>161/94</w:t>
      </w:r>
      <w:r>
        <w:t xml:space="preserve"> o výměře </w:t>
      </w:r>
      <w:r w:rsidR="008A0FD3">
        <w:t>339</w:t>
      </w:r>
      <w:r w:rsidRPr="00CC0349">
        <w:t xml:space="preserve"> </w:t>
      </w:r>
      <w:r>
        <w:t>m</w:t>
      </w:r>
      <w:r>
        <w:rPr>
          <w:vertAlign w:val="superscript"/>
        </w:rPr>
        <w:t>2</w:t>
      </w:r>
      <w:r>
        <w:t xml:space="preserve"> – orná půda</w:t>
      </w:r>
      <w:r w:rsidR="009950BE">
        <w:t>,</w:t>
      </w:r>
      <w:r>
        <w:t xml:space="preserve"> v obci a katastrálním území </w:t>
      </w:r>
      <w:r w:rsidR="008A0FD3">
        <w:t>Psáry</w:t>
      </w:r>
      <w:r w:rsidR="00177FC5">
        <w:t>, zapsaný na LV č. 2014</w:t>
      </w:r>
      <w:r>
        <w:t xml:space="preserve">. </w:t>
      </w:r>
    </w:p>
    <w:p w:rsidR="008A0FD3" w:rsidRDefault="008A0FD3" w:rsidP="008A0FD3">
      <w:pPr>
        <w:widowControl w:val="0"/>
        <w:overflowPunct w:val="0"/>
        <w:autoSpaceDE w:val="0"/>
        <w:autoSpaceDN w:val="0"/>
        <w:adjustRightInd w:val="0"/>
        <w:ind w:left="426"/>
        <w:jc w:val="both"/>
      </w:pPr>
    </w:p>
    <w:p w:rsidR="008A0FD3" w:rsidRDefault="00560DFE" w:rsidP="008A0FD3">
      <w:pPr>
        <w:widowControl w:val="0"/>
        <w:numPr>
          <w:ilvl w:val="0"/>
          <w:numId w:val="1"/>
        </w:numPr>
        <w:tabs>
          <w:tab w:val="num" w:pos="426"/>
        </w:tabs>
        <w:overflowPunct w:val="0"/>
        <w:autoSpaceDE w:val="0"/>
        <w:autoSpaceDN w:val="0"/>
        <w:adjustRightInd w:val="0"/>
        <w:ind w:left="426"/>
        <w:jc w:val="both"/>
      </w:pPr>
      <w:r>
        <w:t>P</w:t>
      </w:r>
      <w:r w:rsidR="008A0FD3">
        <w:t xml:space="preserve">rodávající je dále výlučným vlastníkem herních prvků dětského hřiště, nacházejících se na pozemku </w:t>
      </w:r>
      <w:proofErr w:type="spellStart"/>
      <w:proofErr w:type="gramStart"/>
      <w:r w:rsidR="008A0FD3">
        <w:t>parc</w:t>
      </w:r>
      <w:proofErr w:type="gramEnd"/>
      <w:r w:rsidR="008A0FD3">
        <w:t>.</w:t>
      </w:r>
      <w:proofErr w:type="gramStart"/>
      <w:r w:rsidR="008A0FD3">
        <w:t>č</w:t>
      </w:r>
      <w:proofErr w:type="spellEnd"/>
      <w:r w:rsidR="008A0FD3">
        <w:t>.</w:t>
      </w:r>
      <w:proofErr w:type="gramEnd"/>
      <w:r w:rsidR="008A0FD3">
        <w:t xml:space="preserve"> 161/94</w:t>
      </w:r>
      <w:r w:rsidR="00177FC5">
        <w:t xml:space="preserve"> katastrální území Psáry</w:t>
      </w:r>
      <w:r w:rsidR="008A0FD3">
        <w:t>.</w:t>
      </w:r>
    </w:p>
    <w:p w:rsidR="00560DFE" w:rsidRDefault="00560DFE" w:rsidP="00F3530F">
      <w:pPr>
        <w:widowControl w:val="0"/>
        <w:jc w:val="both"/>
      </w:pPr>
    </w:p>
    <w:p w:rsidR="00560DFE" w:rsidRDefault="00560DFE" w:rsidP="00CC0349">
      <w:pPr>
        <w:widowControl w:val="0"/>
        <w:jc w:val="both"/>
      </w:pPr>
    </w:p>
    <w:p w:rsidR="00560DFE" w:rsidRDefault="00560DFE" w:rsidP="006C574D">
      <w:pPr>
        <w:widowControl w:val="0"/>
        <w:jc w:val="center"/>
        <w:outlineLvl w:val="0"/>
        <w:rPr>
          <w:b/>
        </w:rPr>
      </w:pPr>
      <w:r>
        <w:rPr>
          <w:b/>
        </w:rPr>
        <w:t>II.</w:t>
      </w:r>
    </w:p>
    <w:p w:rsidR="00560DFE" w:rsidRDefault="00560DFE" w:rsidP="00CC0349">
      <w:pPr>
        <w:widowControl w:val="0"/>
        <w:jc w:val="center"/>
        <w:rPr>
          <w:b/>
        </w:rPr>
      </w:pPr>
      <w:r>
        <w:rPr>
          <w:b/>
        </w:rPr>
        <w:t>Projevy vůle a kupní cena</w:t>
      </w:r>
    </w:p>
    <w:p w:rsidR="009950BE" w:rsidRDefault="009950BE" w:rsidP="00CC0349">
      <w:pPr>
        <w:widowControl w:val="0"/>
        <w:jc w:val="center"/>
        <w:rPr>
          <w:b/>
        </w:rPr>
      </w:pPr>
    </w:p>
    <w:p w:rsidR="00560DFE" w:rsidRDefault="00560DFE" w:rsidP="00383AED">
      <w:pPr>
        <w:widowControl w:val="0"/>
        <w:overflowPunct w:val="0"/>
        <w:autoSpaceDE w:val="0"/>
        <w:autoSpaceDN w:val="0"/>
        <w:adjustRightInd w:val="0"/>
        <w:ind w:left="426" w:hanging="426"/>
        <w:jc w:val="both"/>
      </w:pPr>
      <w:r>
        <w:t>1.</w:t>
      </w:r>
      <w:r>
        <w:tab/>
        <w:t xml:space="preserve">Prodávající prodává kupující pozemek uvedený v čl. I. této smlouvy </w:t>
      </w:r>
      <w:r w:rsidR="00C33DF8">
        <w:t xml:space="preserve">za </w:t>
      </w:r>
      <w:r w:rsidR="009950BE">
        <w:t xml:space="preserve">celkovou kupní cenu </w:t>
      </w:r>
      <w:r w:rsidR="009950BE" w:rsidRPr="00CB484F">
        <w:rPr>
          <w:b/>
        </w:rPr>
        <w:t>4.</w:t>
      </w:r>
      <w:r w:rsidR="009950BE">
        <w:rPr>
          <w:b/>
        </w:rPr>
        <w:t>102</w:t>
      </w:r>
      <w:r w:rsidR="009950BE" w:rsidRPr="00775BC1">
        <w:rPr>
          <w:b/>
        </w:rPr>
        <w:t>,- Kč</w:t>
      </w:r>
      <w:r w:rsidR="009950BE">
        <w:t xml:space="preserve"> </w:t>
      </w:r>
      <w:r w:rsidR="009950BE" w:rsidRPr="00775BC1">
        <w:rPr>
          <w:b/>
        </w:rPr>
        <w:t xml:space="preserve">(slovy: </w:t>
      </w:r>
      <w:proofErr w:type="spellStart"/>
      <w:r w:rsidR="009950BE">
        <w:rPr>
          <w:b/>
        </w:rPr>
        <w:t>čtyřitisícejednostodva</w:t>
      </w:r>
      <w:proofErr w:type="spellEnd"/>
      <w:r w:rsidR="009950BE">
        <w:rPr>
          <w:b/>
        </w:rPr>
        <w:t xml:space="preserve"> korun</w:t>
      </w:r>
      <w:r w:rsidR="009950BE" w:rsidRPr="00775BC1">
        <w:rPr>
          <w:b/>
        </w:rPr>
        <w:t xml:space="preserve"> českých)</w:t>
      </w:r>
      <w:r w:rsidR="009950BE">
        <w:t xml:space="preserve"> včetně DPH (21%) tj. </w:t>
      </w:r>
      <w:r>
        <w:t>za částku</w:t>
      </w:r>
      <w:r w:rsidR="009950BE">
        <w:t xml:space="preserve"> </w:t>
      </w:r>
      <w:r w:rsidR="009950BE" w:rsidRPr="009950BE">
        <w:rPr>
          <w:b/>
        </w:rPr>
        <w:t>1</w:t>
      </w:r>
      <w:r w:rsidR="00CB484F" w:rsidRPr="00CB484F">
        <w:rPr>
          <w:b/>
        </w:rPr>
        <w:t>2</w:t>
      </w:r>
      <w:r w:rsidRPr="00CB484F">
        <w:rPr>
          <w:b/>
        </w:rPr>
        <w:t>,</w:t>
      </w:r>
      <w:r w:rsidR="00CB484F" w:rsidRPr="00CB484F">
        <w:rPr>
          <w:b/>
        </w:rPr>
        <w:t>10</w:t>
      </w:r>
      <w:r w:rsidRPr="00CB484F">
        <w:rPr>
          <w:b/>
        </w:rPr>
        <w:t>-</w:t>
      </w:r>
      <w:r w:rsidR="008A0FD3" w:rsidRPr="00CB484F">
        <w:rPr>
          <w:b/>
        </w:rPr>
        <w:t xml:space="preserve"> </w:t>
      </w:r>
      <w:r w:rsidRPr="00CB484F">
        <w:rPr>
          <w:b/>
        </w:rPr>
        <w:t>Kč/m</w:t>
      </w:r>
      <w:r w:rsidRPr="00CB484F">
        <w:rPr>
          <w:b/>
          <w:vertAlign w:val="superscript"/>
        </w:rPr>
        <w:t>2</w:t>
      </w:r>
      <w:r>
        <w:t xml:space="preserve">. Kupní cena bez DPH pak činí </w:t>
      </w:r>
      <w:r w:rsidRPr="00CB484F">
        <w:rPr>
          <w:b/>
        </w:rPr>
        <w:t>1</w:t>
      </w:r>
      <w:r w:rsidR="00CB484F" w:rsidRPr="00CB484F">
        <w:rPr>
          <w:b/>
        </w:rPr>
        <w:t>0</w:t>
      </w:r>
      <w:r w:rsidRPr="00CB484F">
        <w:rPr>
          <w:b/>
        </w:rPr>
        <w:t>,- Kč/m</w:t>
      </w:r>
      <w:r w:rsidRPr="00CB484F">
        <w:rPr>
          <w:b/>
          <w:vertAlign w:val="superscript"/>
        </w:rPr>
        <w:t>2</w:t>
      </w:r>
      <w:r>
        <w:t xml:space="preserve"> celkem tedy </w:t>
      </w:r>
      <w:r w:rsidR="00CB484F" w:rsidRPr="00CB484F">
        <w:rPr>
          <w:b/>
        </w:rPr>
        <w:t>3.390</w:t>
      </w:r>
      <w:r w:rsidRPr="00CB484F">
        <w:rPr>
          <w:b/>
        </w:rPr>
        <w:t xml:space="preserve">,- Kč (slovy: </w:t>
      </w:r>
      <w:r w:rsidR="00CB484F" w:rsidRPr="00CB484F">
        <w:rPr>
          <w:b/>
        </w:rPr>
        <w:t xml:space="preserve"> </w:t>
      </w:r>
      <w:proofErr w:type="spellStart"/>
      <w:r w:rsidR="00CB484F" w:rsidRPr="00CB484F">
        <w:rPr>
          <w:b/>
        </w:rPr>
        <w:t>třitisícetřistadevadesát</w:t>
      </w:r>
      <w:proofErr w:type="spellEnd"/>
      <w:r w:rsidRPr="00CB484F">
        <w:rPr>
          <w:b/>
        </w:rPr>
        <w:t xml:space="preserve"> korun českých)</w:t>
      </w:r>
      <w:r w:rsidR="00C33DF8">
        <w:rPr>
          <w:b/>
        </w:rPr>
        <w:t xml:space="preserve"> bez DPH</w:t>
      </w:r>
      <w:r>
        <w:t xml:space="preserve">. </w:t>
      </w:r>
    </w:p>
    <w:p w:rsidR="00CB484F" w:rsidRDefault="00CB484F" w:rsidP="00383AED">
      <w:pPr>
        <w:widowControl w:val="0"/>
        <w:overflowPunct w:val="0"/>
        <w:autoSpaceDE w:val="0"/>
        <w:autoSpaceDN w:val="0"/>
        <w:adjustRightInd w:val="0"/>
        <w:ind w:left="426" w:hanging="426"/>
        <w:jc w:val="both"/>
      </w:pPr>
    </w:p>
    <w:p w:rsidR="00560DFE" w:rsidRDefault="00560DFE" w:rsidP="00383AED">
      <w:pPr>
        <w:widowControl w:val="0"/>
        <w:overflowPunct w:val="0"/>
        <w:autoSpaceDE w:val="0"/>
        <w:autoSpaceDN w:val="0"/>
        <w:adjustRightInd w:val="0"/>
        <w:ind w:left="426" w:hanging="426"/>
        <w:jc w:val="both"/>
      </w:pPr>
      <w:r>
        <w:t>2.</w:t>
      </w:r>
      <w:r>
        <w:tab/>
        <w:t xml:space="preserve">Kupující uvedený pozemek za dohodnutou kupní cenu od prodávající kupuje </w:t>
      </w:r>
      <w:r w:rsidR="00CB484F">
        <w:t xml:space="preserve">včetně veškerého příslušenství a herních prvků nacházejících se na pozemku </w:t>
      </w:r>
      <w:r>
        <w:t xml:space="preserve">a přijímá </w:t>
      </w:r>
      <w:r w:rsidR="00CB484F">
        <w:t xml:space="preserve">jej </w:t>
      </w:r>
      <w:r>
        <w:t>do svého výlučného vlastnictví.</w:t>
      </w:r>
    </w:p>
    <w:p w:rsidR="00560DFE" w:rsidRPr="00E210BC" w:rsidRDefault="00560DFE" w:rsidP="003B078C">
      <w:pPr>
        <w:widowControl w:val="0"/>
        <w:overflowPunct w:val="0"/>
        <w:autoSpaceDE w:val="0"/>
        <w:autoSpaceDN w:val="0"/>
        <w:adjustRightInd w:val="0"/>
        <w:jc w:val="both"/>
      </w:pPr>
      <w:r w:rsidRPr="00E210BC">
        <w:t xml:space="preserve"> </w:t>
      </w:r>
    </w:p>
    <w:p w:rsidR="00560DFE" w:rsidRDefault="00560DFE" w:rsidP="006C574D">
      <w:pPr>
        <w:widowControl w:val="0"/>
        <w:jc w:val="center"/>
        <w:outlineLvl w:val="0"/>
        <w:rPr>
          <w:b/>
        </w:rPr>
      </w:pPr>
      <w:r>
        <w:rPr>
          <w:b/>
        </w:rPr>
        <w:t>III.</w:t>
      </w:r>
    </w:p>
    <w:p w:rsidR="00560DFE" w:rsidRDefault="00560DFE" w:rsidP="00CC0349">
      <w:pPr>
        <w:widowControl w:val="0"/>
        <w:jc w:val="center"/>
        <w:rPr>
          <w:b/>
        </w:rPr>
      </w:pPr>
      <w:r>
        <w:rPr>
          <w:b/>
        </w:rPr>
        <w:t>Způsob úhrady kupní ceny</w:t>
      </w:r>
    </w:p>
    <w:p w:rsidR="009950BE" w:rsidRDefault="009950BE" w:rsidP="00CC0349">
      <w:pPr>
        <w:widowControl w:val="0"/>
        <w:jc w:val="center"/>
        <w:rPr>
          <w:b/>
        </w:rPr>
      </w:pPr>
    </w:p>
    <w:p w:rsidR="001322AB" w:rsidRDefault="00560DFE" w:rsidP="001322AB">
      <w:pPr>
        <w:widowControl w:val="0"/>
        <w:numPr>
          <w:ilvl w:val="0"/>
          <w:numId w:val="8"/>
        </w:numPr>
        <w:tabs>
          <w:tab w:val="clear" w:pos="780"/>
          <w:tab w:val="num" w:pos="360"/>
        </w:tabs>
        <w:overflowPunct w:val="0"/>
        <w:autoSpaceDE w:val="0"/>
        <w:autoSpaceDN w:val="0"/>
        <w:adjustRightInd w:val="0"/>
        <w:ind w:left="360"/>
        <w:jc w:val="both"/>
      </w:pPr>
      <w:r>
        <w:t>Kupující se zavazuje uhradit</w:t>
      </w:r>
      <w:r w:rsidRPr="00910000">
        <w:t xml:space="preserve"> </w:t>
      </w:r>
      <w:r w:rsidR="00CB484F">
        <w:t xml:space="preserve">prodávající </w:t>
      </w:r>
      <w:r>
        <w:t>k</w:t>
      </w:r>
      <w:r w:rsidRPr="00910000">
        <w:t xml:space="preserve">upní cenu uvedenou v čl. </w:t>
      </w:r>
      <w:r>
        <w:t>II</w:t>
      </w:r>
      <w:r w:rsidRPr="00910000">
        <w:t xml:space="preserve"> této </w:t>
      </w:r>
      <w:r>
        <w:t>s</w:t>
      </w:r>
      <w:r w:rsidRPr="00910000">
        <w:t>mlouvy</w:t>
      </w:r>
      <w:r>
        <w:t xml:space="preserve"> do 10-ti pracovních dnů od </w:t>
      </w:r>
      <w:r w:rsidR="00CB484F">
        <w:t xml:space="preserve">doručení </w:t>
      </w:r>
      <w:r w:rsidR="001322AB">
        <w:t xml:space="preserve">do dispozice </w:t>
      </w:r>
      <w:r w:rsidR="009950BE">
        <w:t>k</w:t>
      </w:r>
      <w:r w:rsidR="001322AB">
        <w:t>upující „</w:t>
      </w:r>
      <w:r w:rsidR="00CB484F">
        <w:t>Vyrozumění o provedeném vkladu do katastru nemovitostí</w:t>
      </w:r>
      <w:r w:rsidR="001322AB">
        <w:t>“</w:t>
      </w:r>
      <w:r w:rsidR="00CB484F">
        <w:t xml:space="preserve">, </w:t>
      </w:r>
      <w:r w:rsidR="001322AB">
        <w:t xml:space="preserve">kde </w:t>
      </w:r>
      <w:r w:rsidR="009950BE">
        <w:t>k</w:t>
      </w:r>
      <w:r w:rsidR="001322AB">
        <w:t>upujíc</w:t>
      </w:r>
      <w:r w:rsidR="008D2223">
        <w:t>í</w:t>
      </w:r>
      <w:r w:rsidR="001322AB">
        <w:t xml:space="preserve"> bude uveden jako vlastník nemovité věci - pozemku </w:t>
      </w:r>
      <w:proofErr w:type="spellStart"/>
      <w:r w:rsidR="001322AB">
        <w:t>parc</w:t>
      </w:r>
      <w:proofErr w:type="spellEnd"/>
      <w:r w:rsidR="001322AB">
        <w:t xml:space="preserve">. </w:t>
      </w:r>
      <w:proofErr w:type="gramStart"/>
      <w:r w:rsidR="001322AB">
        <w:t>č.</w:t>
      </w:r>
      <w:proofErr w:type="gramEnd"/>
      <w:r w:rsidR="001322AB">
        <w:t xml:space="preserve"> 161/94 a list vlastnictví nebude obsahovat jakékoliv zápisy a záznamy o omezení vlastnických práv, ani žádné poznámky nebo zápisy poukazující  na probíhající řízení </w:t>
      </w:r>
      <w:r w:rsidR="001322AB">
        <w:lastRenderedPageBreak/>
        <w:t xml:space="preserve">(plomby) a ve vztahu k nemovitosti nebude v katastru nemovitostí zapsána poznámka nebo poznámka spornosti ve smyslu ustanovení § 22 a násl. Zákona č. 256/2013 Sb., o katastru nemovitostí, s výjimkou případných poznámek či plomb z důvodu na straně </w:t>
      </w:r>
      <w:r w:rsidR="009950BE">
        <w:t>k</w:t>
      </w:r>
      <w:r w:rsidR="001322AB">
        <w:t xml:space="preserve">upující. </w:t>
      </w:r>
    </w:p>
    <w:p w:rsidR="00560DFE" w:rsidRDefault="00560DFE" w:rsidP="003B078C">
      <w:pPr>
        <w:widowControl w:val="0"/>
        <w:overflowPunct w:val="0"/>
        <w:autoSpaceDE w:val="0"/>
        <w:autoSpaceDN w:val="0"/>
        <w:adjustRightInd w:val="0"/>
        <w:ind w:left="360" w:hanging="360"/>
        <w:jc w:val="both"/>
      </w:pPr>
    </w:p>
    <w:p w:rsidR="00560DFE" w:rsidRPr="00D7400E" w:rsidRDefault="001322AB" w:rsidP="003B078C">
      <w:pPr>
        <w:widowControl w:val="0"/>
        <w:overflowPunct w:val="0"/>
        <w:autoSpaceDE w:val="0"/>
        <w:autoSpaceDN w:val="0"/>
        <w:adjustRightInd w:val="0"/>
        <w:jc w:val="both"/>
      </w:pPr>
      <w:r>
        <w:t>2</w:t>
      </w:r>
      <w:r w:rsidR="00560DFE">
        <w:t xml:space="preserve">.   Obě smluvní strany se způsobem úhrady kupní ceny souhlasí. </w:t>
      </w:r>
    </w:p>
    <w:p w:rsidR="00560DFE" w:rsidRDefault="00560DFE" w:rsidP="00CC0349">
      <w:pPr>
        <w:widowControl w:val="0"/>
        <w:jc w:val="both"/>
        <w:rPr>
          <w:b/>
          <w:bCs/>
        </w:rPr>
      </w:pPr>
    </w:p>
    <w:p w:rsidR="00560DFE" w:rsidRDefault="00560DFE" w:rsidP="00CC0349">
      <w:pPr>
        <w:widowControl w:val="0"/>
        <w:jc w:val="both"/>
        <w:rPr>
          <w:b/>
          <w:bCs/>
        </w:rPr>
      </w:pPr>
    </w:p>
    <w:p w:rsidR="00560DFE" w:rsidRDefault="00560DFE" w:rsidP="006C574D">
      <w:pPr>
        <w:widowControl w:val="0"/>
        <w:jc w:val="center"/>
        <w:outlineLvl w:val="0"/>
        <w:rPr>
          <w:b/>
          <w:bCs/>
        </w:rPr>
      </w:pPr>
      <w:r>
        <w:rPr>
          <w:b/>
          <w:bCs/>
        </w:rPr>
        <w:t>IV.</w:t>
      </w:r>
    </w:p>
    <w:p w:rsidR="00560DFE" w:rsidRDefault="00560DFE" w:rsidP="00CC0349">
      <w:pPr>
        <w:widowControl w:val="0"/>
        <w:jc w:val="center"/>
        <w:rPr>
          <w:b/>
          <w:bCs/>
        </w:rPr>
      </w:pPr>
      <w:r w:rsidRPr="00C202A3">
        <w:rPr>
          <w:b/>
          <w:bCs/>
        </w:rPr>
        <w:t>Prohlášení stran</w:t>
      </w:r>
    </w:p>
    <w:p w:rsidR="009950BE" w:rsidRPr="00C202A3" w:rsidRDefault="009950BE" w:rsidP="00CC0349">
      <w:pPr>
        <w:widowControl w:val="0"/>
        <w:jc w:val="center"/>
        <w:rPr>
          <w:b/>
          <w:bCs/>
        </w:rPr>
      </w:pPr>
    </w:p>
    <w:p w:rsidR="00560DFE" w:rsidRPr="00C202A3" w:rsidRDefault="00560DFE" w:rsidP="005E28FB">
      <w:pPr>
        <w:widowControl w:val="0"/>
        <w:numPr>
          <w:ilvl w:val="0"/>
          <w:numId w:val="4"/>
        </w:numPr>
        <w:tabs>
          <w:tab w:val="left" w:pos="0"/>
          <w:tab w:val="num" w:pos="426"/>
        </w:tabs>
        <w:overflowPunct w:val="0"/>
        <w:autoSpaceDE w:val="0"/>
        <w:autoSpaceDN w:val="0"/>
        <w:adjustRightInd w:val="0"/>
        <w:ind w:left="426"/>
        <w:jc w:val="both"/>
      </w:pPr>
      <w:r w:rsidRPr="00C202A3">
        <w:t>Prodávající výslovně prohlašuje, že prodávaný pozemek není zatížen žádným zástavním</w:t>
      </w:r>
      <w:r>
        <w:t xml:space="preserve"> právem, věcným břemenem, nájemním či jiným užívacím právem třetí osoby, restitučním nárokem, ochranným pásmem nebo jinými právními vadami, které by bránily ve volném nakládání s pozemkem, který je předmětem tohoto prodeje a koupě mezi stranami této kupní </w:t>
      </w:r>
      <w:r w:rsidR="001322AB">
        <w:t>smlouvy. Prodávajíc</w:t>
      </w:r>
      <w:r w:rsidR="009950BE">
        <w:t>í</w:t>
      </w:r>
      <w:r w:rsidR="001322AB">
        <w:t xml:space="preserve"> dále prohlašuje, že na pozemku se dále nacházejí herní prvky dětského hřiště, </w:t>
      </w:r>
      <w:r w:rsidR="00714776">
        <w:t xml:space="preserve">včetně jejich příslušenství a dále </w:t>
      </w:r>
      <w:r w:rsidR="001322AB">
        <w:t xml:space="preserve">oplocení </w:t>
      </w:r>
      <w:r w:rsidR="00714776">
        <w:t>dětského hřiště. K provozu dětského hřiště byl vydán dne 26.</w:t>
      </w:r>
      <w:r w:rsidR="00177FC5">
        <w:t xml:space="preserve"> </w:t>
      </w:r>
      <w:r w:rsidR="00714776">
        <w:t>9.</w:t>
      </w:r>
      <w:r w:rsidR="00177FC5">
        <w:t xml:space="preserve"> </w:t>
      </w:r>
      <w:r w:rsidR="00714776">
        <w:t xml:space="preserve">2013 revizní protokol autorizovanou osobou Tomovy parky-servis s.r.o., IČ: </w:t>
      </w:r>
      <w:r w:rsidR="008E6D1C">
        <w:t>22798391.</w:t>
      </w:r>
      <w:r w:rsidRPr="00C202A3">
        <w:t xml:space="preserve"> Kupující ani žádné závady nebo dluhy ve smlouvě neuvedené s předmětným pozemkem nepřebírá.</w:t>
      </w:r>
    </w:p>
    <w:p w:rsidR="00560DFE" w:rsidRDefault="00560DFE" w:rsidP="00C25476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426"/>
        <w:jc w:val="both"/>
      </w:pPr>
      <w:r w:rsidRPr="00C202A3">
        <w:t>Nepravdivost tohoto prohlášení zakládá právo kupujícího odstoupit od této smlouvy.</w:t>
      </w:r>
    </w:p>
    <w:p w:rsidR="008E6D1C" w:rsidRPr="00C202A3" w:rsidRDefault="008E6D1C" w:rsidP="00C25476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426"/>
        <w:jc w:val="both"/>
      </w:pPr>
    </w:p>
    <w:p w:rsidR="00560DFE" w:rsidRPr="00C202A3" w:rsidRDefault="00560DFE" w:rsidP="00CC0349">
      <w:pPr>
        <w:widowControl w:val="0"/>
        <w:numPr>
          <w:ilvl w:val="0"/>
          <w:numId w:val="4"/>
        </w:numPr>
        <w:tabs>
          <w:tab w:val="left" w:pos="0"/>
          <w:tab w:val="num" w:pos="426"/>
        </w:tabs>
        <w:overflowPunct w:val="0"/>
        <w:autoSpaceDE w:val="0"/>
        <w:autoSpaceDN w:val="0"/>
        <w:adjustRightInd w:val="0"/>
        <w:ind w:left="426"/>
        <w:jc w:val="both"/>
      </w:pPr>
      <w:r w:rsidRPr="00C202A3">
        <w:t>Kupující prohlašuje, že si prodávaný pozemek prohlédl a kupuje jej ve stavu, který touto prohlídkou zjistil. Smluvní strany se dohodly, že dnem předání a převzetí převáděného pozemku bude bez dalšího den podání návrhu na vklad vlastnického práva ve prospěch kupující na katastrální úřad.</w:t>
      </w:r>
    </w:p>
    <w:p w:rsidR="00560DFE" w:rsidRPr="00775BC1" w:rsidRDefault="00560DFE" w:rsidP="008E6D1C">
      <w:pPr>
        <w:pStyle w:val="Odstavecseseznamem1"/>
        <w:ind w:left="0"/>
        <w:jc w:val="both"/>
      </w:pPr>
    </w:p>
    <w:p w:rsidR="00560DFE" w:rsidRDefault="00560DFE" w:rsidP="000F3054">
      <w:pPr>
        <w:jc w:val="center"/>
        <w:outlineLvl w:val="0"/>
        <w:rPr>
          <w:b/>
        </w:rPr>
      </w:pPr>
      <w:r>
        <w:rPr>
          <w:b/>
        </w:rPr>
        <w:t>V.</w:t>
      </w:r>
    </w:p>
    <w:p w:rsidR="00560DFE" w:rsidRDefault="00560DFE" w:rsidP="00CC0349">
      <w:pPr>
        <w:jc w:val="center"/>
        <w:rPr>
          <w:b/>
        </w:rPr>
      </w:pPr>
      <w:r>
        <w:rPr>
          <w:b/>
        </w:rPr>
        <w:t>Nabytí vlastnictví a předání nemovitosti, úhrada daně</w:t>
      </w:r>
    </w:p>
    <w:p w:rsidR="008E6D1C" w:rsidRDefault="008E6D1C" w:rsidP="00CC0349">
      <w:pPr>
        <w:jc w:val="center"/>
        <w:rPr>
          <w:b/>
        </w:rPr>
      </w:pPr>
    </w:p>
    <w:p w:rsidR="00560DFE" w:rsidRDefault="00560DFE" w:rsidP="00CC0349">
      <w:pPr>
        <w:widowControl w:val="0"/>
        <w:numPr>
          <w:ilvl w:val="0"/>
          <w:numId w:val="5"/>
        </w:numPr>
        <w:tabs>
          <w:tab w:val="num" w:pos="426"/>
        </w:tabs>
        <w:overflowPunct w:val="0"/>
        <w:autoSpaceDE w:val="0"/>
        <w:autoSpaceDN w:val="0"/>
        <w:adjustRightInd w:val="0"/>
        <w:ind w:left="426"/>
        <w:jc w:val="both"/>
      </w:pPr>
      <w:r>
        <w:t>Kupující nabude vlastnictví k převáděnému pozemku vkladem vlastnického práva do katastru nemovitostí u Katastrálního úřadu pro Středočeský kraj, Katastrální pracoviště Praha - západ k okamžiku podání návrhu na zápis vkladu do KN. Do rozhodnutí Katastrálního úřadu pro Středočeský kraj, katastrální pracoviště Praha - západ o povolení zápisu vkladu vlastnického práva pro kupující do katastru nemovitostí jsou smluvní strany vázány svými projevy vůle učiněnými v této smlouvě.</w:t>
      </w:r>
    </w:p>
    <w:p w:rsidR="008E6D1C" w:rsidRDefault="008E6D1C" w:rsidP="008E6D1C">
      <w:pPr>
        <w:widowControl w:val="0"/>
        <w:overflowPunct w:val="0"/>
        <w:autoSpaceDE w:val="0"/>
        <w:autoSpaceDN w:val="0"/>
        <w:adjustRightInd w:val="0"/>
        <w:ind w:left="426"/>
        <w:jc w:val="both"/>
      </w:pPr>
    </w:p>
    <w:p w:rsidR="008E6D1C" w:rsidRDefault="00560DFE" w:rsidP="00CC0349">
      <w:pPr>
        <w:pStyle w:val="Zkladntext"/>
        <w:numPr>
          <w:ilvl w:val="0"/>
          <w:numId w:val="5"/>
        </w:numPr>
        <w:tabs>
          <w:tab w:val="num" w:pos="426"/>
        </w:tabs>
        <w:ind w:left="426"/>
        <w:rPr>
          <w:sz w:val="24"/>
        </w:rPr>
      </w:pPr>
      <w:r>
        <w:rPr>
          <w:sz w:val="24"/>
        </w:rPr>
        <w:t xml:space="preserve">Smluvní strany se dohodly, že návrh na vklad vlastnického práva do katastru nemovitostí na základě této kupní smlouvy podá k místně příslušnému katastrálnímu úřadu prodávající do </w:t>
      </w:r>
      <w:proofErr w:type="gramStart"/>
      <w:r>
        <w:rPr>
          <w:sz w:val="24"/>
        </w:rPr>
        <w:t>10</w:t>
      </w:r>
      <w:r w:rsidR="008E6D1C">
        <w:rPr>
          <w:sz w:val="24"/>
        </w:rPr>
        <w:t>-</w:t>
      </w:r>
      <w:r>
        <w:rPr>
          <w:sz w:val="24"/>
        </w:rPr>
        <w:t>ti</w:t>
      </w:r>
      <w:proofErr w:type="gramEnd"/>
      <w:r>
        <w:rPr>
          <w:sz w:val="24"/>
        </w:rPr>
        <w:t xml:space="preserve"> pracovních dnů od </w:t>
      </w:r>
      <w:r w:rsidR="008E6D1C">
        <w:rPr>
          <w:sz w:val="24"/>
        </w:rPr>
        <w:t xml:space="preserve">podpisu této </w:t>
      </w:r>
      <w:r>
        <w:rPr>
          <w:sz w:val="24"/>
        </w:rPr>
        <w:t xml:space="preserve">kupní </w:t>
      </w:r>
      <w:r w:rsidR="008E6D1C">
        <w:rPr>
          <w:sz w:val="24"/>
        </w:rPr>
        <w:t>smlouvy</w:t>
      </w:r>
      <w:r>
        <w:rPr>
          <w:sz w:val="24"/>
        </w:rPr>
        <w:t>. Správní poplatek spojený s návrhem na vklad vlastnického práva hradí prodávající.</w:t>
      </w:r>
    </w:p>
    <w:p w:rsidR="00560DFE" w:rsidRDefault="00560DFE" w:rsidP="008E6D1C">
      <w:pPr>
        <w:pStyle w:val="Zkladntext"/>
        <w:ind w:left="426"/>
        <w:rPr>
          <w:sz w:val="24"/>
        </w:rPr>
      </w:pPr>
      <w:r>
        <w:rPr>
          <w:sz w:val="24"/>
        </w:rPr>
        <w:t xml:space="preserve"> </w:t>
      </w:r>
    </w:p>
    <w:p w:rsidR="00560DFE" w:rsidRDefault="00560DFE" w:rsidP="009950BE">
      <w:pPr>
        <w:pStyle w:val="Zkladntext"/>
        <w:numPr>
          <w:ilvl w:val="0"/>
          <w:numId w:val="5"/>
        </w:numPr>
        <w:tabs>
          <w:tab w:val="num" w:pos="426"/>
        </w:tabs>
        <w:ind w:left="425" w:hanging="357"/>
        <w:rPr>
          <w:sz w:val="24"/>
        </w:rPr>
      </w:pPr>
      <w:r>
        <w:rPr>
          <w:sz w:val="24"/>
        </w:rPr>
        <w:t>Poplatníkem daně z nabytí nemovitých věcí je kupující.</w:t>
      </w:r>
    </w:p>
    <w:p w:rsidR="00373C8E" w:rsidRDefault="00373C8E" w:rsidP="005E28FB">
      <w:pPr>
        <w:pStyle w:val="Zkladntext"/>
        <w:rPr>
          <w:sz w:val="24"/>
        </w:rPr>
      </w:pPr>
    </w:p>
    <w:p w:rsidR="00373C8E" w:rsidRDefault="00373C8E" w:rsidP="005E28FB">
      <w:pPr>
        <w:pStyle w:val="Zkladntext"/>
        <w:rPr>
          <w:sz w:val="24"/>
        </w:rPr>
      </w:pPr>
    </w:p>
    <w:p w:rsidR="00560DFE" w:rsidRDefault="00560DFE" w:rsidP="006C574D">
      <w:pPr>
        <w:widowControl w:val="0"/>
        <w:jc w:val="center"/>
        <w:outlineLvl w:val="0"/>
        <w:rPr>
          <w:b/>
        </w:rPr>
      </w:pPr>
      <w:r>
        <w:rPr>
          <w:b/>
        </w:rPr>
        <w:t>VI.</w:t>
      </w:r>
    </w:p>
    <w:p w:rsidR="00560DFE" w:rsidRDefault="00560DFE" w:rsidP="00373C8E">
      <w:pPr>
        <w:widowControl w:val="0"/>
        <w:jc w:val="center"/>
        <w:rPr>
          <w:b/>
        </w:rPr>
      </w:pPr>
      <w:r>
        <w:rPr>
          <w:b/>
        </w:rPr>
        <w:t>Součinnost při vkladovém řízení</w:t>
      </w:r>
      <w:r w:rsidR="00373C8E">
        <w:rPr>
          <w:b/>
        </w:rPr>
        <w:t xml:space="preserve"> a o</w:t>
      </w:r>
      <w:r>
        <w:rPr>
          <w:b/>
        </w:rPr>
        <w:t>dstoupení od smlouvy</w:t>
      </w:r>
    </w:p>
    <w:p w:rsidR="00560DFE" w:rsidRDefault="00560DFE" w:rsidP="00CC0349">
      <w:pPr>
        <w:widowControl w:val="0"/>
        <w:jc w:val="center"/>
        <w:rPr>
          <w:b/>
        </w:rPr>
      </w:pPr>
    </w:p>
    <w:p w:rsidR="008E6D1C" w:rsidRDefault="00560DFE" w:rsidP="009950BE">
      <w:pPr>
        <w:tabs>
          <w:tab w:val="num" w:pos="720"/>
        </w:tabs>
        <w:ind w:left="357" w:hanging="357"/>
        <w:jc w:val="both"/>
      </w:pPr>
      <w:r>
        <w:t>1.</w:t>
      </w:r>
      <w:r>
        <w:tab/>
      </w:r>
      <w:r w:rsidRPr="000F0F97">
        <w:t>V případě, že Katastrální úřad pro Středočeský kraj, kat</w:t>
      </w:r>
      <w:r>
        <w:t>astrální pracoviště Praha-západ</w:t>
      </w:r>
      <w:r w:rsidRPr="000F0F97">
        <w:t xml:space="preserve"> svým rozhodnutím pravomocně zamítne návrh na vklad práva vla</w:t>
      </w:r>
      <w:r>
        <w:t>stnického ve prospěch kupující</w:t>
      </w:r>
      <w:r w:rsidRPr="000F0F97">
        <w:t xml:space="preserve"> nebo řízení zastaví, smluvní strany se zavazují ve vzájemné součinnosti do 15 dnů odstranit </w:t>
      </w:r>
      <w:r w:rsidRPr="000F0F97">
        <w:lastRenderedPageBreak/>
        <w:t>důvod zamítnutí návrhu a podat nový návrh na vklad. Pokud katastrální úřad pravomocně zamítne i takto opakovaně podaný návrh na vklad v</w:t>
      </w:r>
      <w:r>
        <w:t>lastnického práva k nemovitosti uvedené</w:t>
      </w:r>
      <w:r w:rsidRPr="000F0F97">
        <w:t xml:space="preserve"> v článku I</w:t>
      </w:r>
      <w:r w:rsidR="009950BE">
        <w:t>.</w:t>
      </w:r>
      <w:r w:rsidRPr="000F0F97">
        <w:t xml:space="preserve"> této smlouvy, </w:t>
      </w:r>
      <w:r>
        <w:t>má</w:t>
      </w:r>
      <w:r w:rsidRPr="000F0F97">
        <w:t xml:space="preserve"> kupující právo od této smlouvy odstoupit.</w:t>
      </w:r>
      <w:r w:rsidR="008E6D1C">
        <w:t xml:space="preserve"> Smluvní strany jsou dále oprávněny od této kupní smlouvy odstoupit v</w:t>
      </w:r>
      <w:r w:rsidR="008D2223">
        <w:t> </w:t>
      </w:r>
      <w:r w:rsidR="008E6D1C">
        <w:t>případě</w:t>
      </w:r>
      <w:r w:rsidR="008D2223">
        <w:t>,</w:t>
      </w:r>
      <w:r w:rsidR="008E6D1C">
        <w:t xml:space="preserve"> pokud se prohlášení učiněná v této kupní smlouvě prokáží jako nepravdivá nebo </w:t>
      </w:r>
      <w:r w:rsidR="008D2223">
        <w:t xml:space="preserve">nebude řádně uhrazena kupní cena v souladu s čl. </w:t>
      </w:r>
      <w:r w:rsidR="009950BE">
        <w:t>III</w:t>
      </w:r>
      <w:r w:rsidR="008D2223">
        <w:t>. odst. 1 této kupní smlouvy.</w:t>
      </w:r>
      <w:r w:rsidR="008E6D1C">
        <w:t xml:space="preserve">  </w:t>
      </w:r>
    </w:p>
    <w:p w:rsidR="00560DFE" w:rsidRPr="000F0F97" w:rsidRDefault="00560DFE" w:rsidP="00461C86">
      <w:pPr>
        <w:tabs>
          <w:tab w:val="num" w:pos="720"/>
        </w:tabs>
        <w:ind w:left="720" w:hanging="720"/>
        <w:jc w:val="both"/>
      </w:pPr>
      <w:r w:rsidRPr="000F0F97">
        <w:t xml:space="preserve"> </w:t>
      </w:r>
    </w:p>
    <w:p w:rsidR="00560DFE" w:rsidRDefault="00560DFE" w:rsidP="009950BE">
      <w:pPr>
        <w:tabs>
          <w:tab w:val="num" w:pos="720"/>
        </w:tabs>
        <w:ind w:left="357" w:hanging="357"/>
        <w:jc w:val="both"/>
      </w:pPr>
      <w:r>
        <w:t>2</w:t>
      </w:r>
      <w:r w:rsidRPr="000F0F97">
        <w:t>.</w:t>
      </w:r>
      <w:r w:rsidRPr="000F0F97">
        <w:tab/>
        <w:t xml:space="preserve">V případě oprávněného odstoupení od smlouvy </w:t>
      </w:r>
      <w:r>
        <w:t xml:space="preserve">během vkladového řízení </w:t>
      </w:r>
      <w:r w:rsidRPr="000F0F97">
        <w:t>jsou smluvní strany povinny podepsat zpětvzetí návrhu na vklad vlastnického práva a poté si vrá</w:t>
      </w:r>
      <w:r>
        <w:t>tit vzájemně poskytnutá plnění.</w:t>
      </w:r>
    </w:p>
    <w:p w:rsidR="008E6D1C" w:rsidRPr="000F0F97" w:rsidRDefault="008E6D1C" w:rsidP="009950BE">
      <w:pPr>
        <w:tabs>
          <w:tab w:val="num" w:pos="720"/>
        </w:tabs>
        <w:ind w:left="357" w:hanging="357"/>
        <w:jc w:val="both"/>
      </w:pPr>
    </w:p>
    <w:p w:rsidR="00560DFE" w:rsidRDefault="00560DFE" w:rsidP="009950BE">
      <w:pPr>
        <w:tabs>
          <w:tab w:val="num" w:pos="720"/>
        </w:tabs>
        <w:ind w:left="357" w:hanging="357"/>
        <w:jc w:val="both"/>
      </w:pPr>
      <w:r>
        <w:t>3</w:t>
      </w:r>
      <w:r w:rsidRPr="000F0F97">
        <w:t>.</w:t>
      </w:r>
      <w:r w:rsidRPr="000F0F97">
        <w:tab/>
        <w:t>Odstoupení od smlouvy musí být učiněno písemně a musí být zasláno druhé smluvní straně doporučeným dopisem, popř. předáno osobně. Účinky odstoupení nastávají dnem doručení, popř. dnem, kdy je druhá strana odmítne převzít.</w:t>
      </w:r>
      <w:r>
        <w:t xml:space="preserve"> </w:t>
      </w:r>
      <w:r w:rsidR="008D2223">
        <w:t>O</w:t>
      </w:r>
      <w:r>
        <w:t xml:space="preserve">dstoupení se řídí </w:t>
      </w:r>
      <w:proofErr w:type="spellStart"/>
      <w:r>
        <w:t>ust</w:t>
      </w:r>
      <w:proofErr w:type="spellEnd"/>
      <w:r>
        <w:t xml:space="preserve">. § </w:t>
      </w:r>
      <w:smartTag w:uri="urn:schemas-microsoft-com:office:smarttags" w:element="metricconverter">
        <w:smartTagPr>
          <w:attr w:name="ProductID" w:val="2001 a"/>
        </w:smartTagPr>
        <w:r>
          <w:t>2001 a</w:t>
        </w:r>
      </w:smartTag>
      <w:r>
        <w:t xml:space="preserve"> násl. NOZ.</w:t>
      </w:r>
    </w:p>
    <w:p w:rsidR="00560DFE" w:rsidRDefault="00560DFE" w:rsidP="008C3EF8">
      <w:pPr>
        <w:tabs>
          <w:tab w:val="num" w:pos="720"/>
        </w:tabs>
        <w:ind w:left="720" w:hanging="720"/>
        <w:jc w:val="both"/>
      </w:pPr>
    </w:p>
    <w:p w:rsidR="009950BE" w:rsidRPr="008C3EF8" w:rsidRDefault="009950BE" w:rsidP="008C3EF8">
      <w:pPr>
        <w:tabs>
          <w:tab w:val="num" w:pos="720"/>
        </w:tabs>
        <w:ind w:left="720" w:hanging="720"/>
        <w:jc w:val="both"/>
      </w:pPr>
    </w:p>
    <w:p w:rsidR="00560DFE" w:rsidRDefault="00560DFE" w:rsidP="006C574D">
      <w:pPr>
        <w:widowControl w:val="0"/>
        <w:jc w:val="center"/>
        <w:outlineLvl w:val="0"/>
        <w:rPr>
          <w:b/>
        </w:rPr>
      </w:pPr>
      <w:r>
        <w:rPr>
          <w:b/>
        </w:rPr>
        <w:t>VII.</w:t>
      </w:r>
    </w:p>
    <w:p w:rsidR="00560DFE" w:rsidRDefault="00560DFE" w:rsidP="006C574D">
      <w:pPr>
        <w:widowControl w:val="0"/>
        <w:jc w:val="center"/>
        <w:outlineLvl w:val="0"/>
        <w:rPr>
          <w:b/>
        </w:rPr>
      </w:pPr>
      <w:r>
        <w:rPr>
          <w:b/>
        </w:rPr>
        <w:t>Závěrečná ustanovení</w:t>
      </w:r>
    </w:p>
    <w:p w:rsidR="00560DFE" w:rsidRPr="00444C9D" w:rsidRDefault="00560DFE" w:rsidP="00444C9D">
      <w:pPr>
        <w:pStyle w:val="Zkladntext"/>
        <w:ind w:left="540" w:right="20" w:hanging="705"/>
        <w:rPr>
          <w:sz w:val="24"/>
          <w:szCs w:val="24"/>
        </w:rPr>
      </w:pPr>
    </w:p>
    <w:p w:rsidR="00560DFE" w:rsidRDefault="00560DFE" w:rsidP="00CC0349">
      <w:pPr>
        <w:numPr>
          <w:ilvl w:val="0"/>
          <w:numId w:val="6"/>
        </w:numPr>
        <w:tabs>
          <w:tab w:val="num" w:pos="426"/>
        </w:tabs>
        <w:overflowPunct w:val="0"/>
        <w:autoSpaceDE w:val="0"/>
        <w:autoSpaceDN w:val="0"/>
        <w:adjustRightInd w:val="0"/>
        <w:ind w:left="426"/>
        <w:jc w:val="both"/>
      </w:pPr>
      <w:r>
        <w:t>Platnost a účinnost této smlouvy nastane dnem jejího podpisu oběma stranami. Jakékoli změny nebo doplňky je možno činit pouze formou oboustranně odsouhlasených písemných dodatků.</w:t>
      </w:r>
    </w:p>
    <w:p w:rsidR="008D2223" w:rsidRDefault="008D2223" w:rsidP="008D2223">
      <w:pPr>
        <w:overflowPunct w:val="0"/>
        <w:autoSpaceDE w:val="0"/>
        <w:autoSpaceDN w:val="0"/>
        <w:adjustRightInd w:val="0"/>
        <w:ind w:left="426"/>
        <w:jc w:val="both"/>
      </w:pPr>
    </w:p>
    <w:p w:rsidR="00560DFE" w:rsidRDefault="00560DFE" w:rsidP="00CC0349">
      <w:pPr>
        <w:numPr>
          <w:ilvl w:val="0"/>
          <w:numId w:val="6"/>
        </w:numPr>
        <w:tabs>
          <w:tab w:val="num" w:pos="426"/>
        </w:tabs>
        <w:overflowPunct w:val="0"/>
        <w:autoSpaceDE w:val="0"/>
        <w:autoSpaceDN w:val="0"/>
        <w:adjustRightInd w:val="0"/>
        <w:ind w:left="426"/>
        <w:jc w:val="both"/>
      </w:pPr>
      <w:r>
        <w:t>Smluvní strany výslovně prohlašují, že se s jejím obsahem seznámily, že všechna ujednání v ní obsažená byla učiněna svobodně a vážně, určitě a srozumitelně a nikoli v tísni a za nápadně nevýhodných podmínek.</w:t>
      </w:r>
    </w:p>
    <w:p w:rsidR="008D2223" w:rsidRDefault="008D2223" w:rsidP="00C33DF8">
      <w:pPr>
        <w:overflowPunct w:val="0"/>
        <w:autoSpaceDE w:val="0"/>
        <w:autoSpaceDN w:val="0"/>
        <w:adjustRightInd w:val="0"/>
        <w:jc w:val="both"/>
      </w:pPr>
    </w:p>
    <w:p w:rsidR="00560DFE" w:rsidRDefault="00560DFE" w:rsidP="00CC0349">
      <w:pPr>
        <w:numPr>
          <w:ilvl w:val="0"/>
          <w:numId w:val="6"/>
        </w:numPr>
        <w:tabs>
          <w:tab w:val="num" w:pos="426"/>
        </w:tabs>
        <w:overflowPunct w:val="0"/>
        <w:autoSpaceDE w:val="0"/>
        <w:autoSpaceDN w:val="0"/>
        <w:adjustRightInd w:val="0"/>
        <w:ind w:left="426"/>
        <w:jc w:val="both"/>
      </w:pPr>
      <w:r>
        <w:t xml:space="preserve">Tato smlouva je vyhotovena ve </w:t>
      </w:r>
      <w:r w:rsidR="008D2223">
        <w:t>třech</w:t>
      </w:r>
      <w:r>
        <w:t xml:space="preserve"> vyhotoveních, z nichž každá ze smluvních stran obdrží po jednom a jedno vyhotovení s ověřenými podpisy si ponechá u sebe prodávající k provedení zápisu vkladu vlastnického práva do katastru nemovitostí u Katastrálního úřadu pro Středočeský kraj, Katastrální pracoviště Praha – západ.</w:t>
      </w:r>
    </w:p>
    <w:p w:rsidR="00560DFE" w:rsidRDefault="00560DFE" w:rsidP="008C3EF8"/>
    <w:p w:rsidR="00560DFE" w:rsidRDefault="00560DFE" w:rsidP="00CC0349">
      <w:pPr>
        <w:jc w:val="both"/>
      </w:pPr>
    </w:p>
    <w:p w:rsidR="00560DFE" w:rsidRDefault="00560DFE" w:rsidP="00C33DF8">
      <w:pPr>
        <w:ind w:firstLine="426"/>
        <w:jc w:val="both"/>
        <w:outlineLvl w:val="0"/>
      </w:pPr>
      <w:r>
        <w:t>V</w:t>
      </w:r>
      <w:r w:rsidR="008D2223">
        <w:t xml:space="preserve"> Psárech</w:t>
      </w:r>
      <w:r>
        <w:t xml:space="preserve"> dne</w:t>
      </w:r>
      <w:r w:rsidR="00AC7652">
        <w:t>……………………</w:t>
      </w:r>
      <w:r w:rsidR="00AC7652">
        <w:tab/>
      </w:r>
      <w:r w:rsidR="008D2223">
        <w:t xml:space="preserve">                      </w:t>
      </w:r>
      <w:r w:rsidR="00AC7652">
        <w:t>V</w:t>
      </w:r>
      <w:r w:rsidR="008D2223">
        <w:t>e Vestci</w:t>
      </w:r>
      <w:r w:rsidR="00AC7652">
        <w:t xml:space="preserve"> dne……………………</w:t>
      </w:r>
      <w:proofErr w:type="gramStart"/>
      <w:r w:rsidR="00AC7652">
        <w:t>…..</w:t>
      </w:r>
      <w:proofErr w:type="gramEnd"/>
      <w:r>
        <w:t xml:space="preserve"> </w:t>
      </w:r>
    </w:p>
    <w:p w:rsidR="00560DFE" w:rsidRDefault="00560DFE" w:rsidP="00CC0349">
      <w:pPr>
        <w:jc w:val="both"/>
      </w:pPr>
    </w:p>
    <w:p w:rsidR="00560DFE" w:rsidRDefault="00560DFE" w:rsidP="00CC0349">
      <w:pPr>
        <w:jc w:val="both"/>
      </w:pPr>
    </w:p>
    <w:p w:rsidR="00560DFE" w:rsidRDefault="00560DFE" w:rsidP="00CC0349">
      <w:pPr>
        <w:jc w:val="both"/>
      </w:pPr>
    </w:p>
    <w:p w:rsidR="00AC7652" w:rsidRDefault="00AC7652" w:rsidP="00CC0349">
      <w:pPr>
        <w:jc w:val="both"/>
      </w:pPr>
    </w:p>
    <w:p w:rsidR="00AC7652" w:rsidRDefault="00AC7652" w:rsidP="00CC0349">
      <w:pPr>
        <w:jc w:val="both"/>
      </w:pPr>
    </w:p>
    <w:p w:rsidR="00AC7652" w:rsidRDefault="00AC7652" w:rsidP="00CC0349">
      <w:pPr>
        <w:jc w:val="both"/>
      </w:pPr>
    </w:p>
    <w:p w:rsidR="00AC7652" w:rsidRDefault="00AC7652" w:rsidP="00CC0349">
      <w:pPr>
        <w:jc w:val="both"/>
      </w:pPr>
    </w:p>
    <w:p w:rsidR="00560DFE" w:rsidRDefault="00373C8E" w:rsidP="00C33DF8">
      <w:pPr>
        <w:ind w:left="2124" w:hanging="1416"/>
        <w:jc w:val="both"/>
      </w:pPr>
      <w:r>
        <w:t>….</w:t>
      </w:r>
      <w:r w:rsidR="00560DFE">
        <w:t>…………</w:t>
      </w:r>
      <w:r w:rsidR="00AC7652">
        <w:t>………….</w:t>
      </w:r>
      <w:r w:rsidR="00560DFE">
        <w:t>…………</w:t>
      </w:r>
      <w:r w:rsidR="00560DFE">
        <w:tab/>
      </w:r>
      <w:r w:rsidR="00560DFE">
        <w:tab/>
      </w:r>
      <w:r w:rsidR="00AC7652">
        <w:t xml:space="preserve">    </w:t>
      </w:r>
      <w:r>
        <w:t xml:space="preserve">              </w:t>
      </w:r>
      <w:r w:rsidR="00560DFE">
        <w:t>……………………………….</w:t>
      </w:r>
      <w:r w:rsidR="00560DFE">
        <w:tab/>
        <w:t xml:space="preserve">         </w:t>
      </w:r>
      <w:r w:rsidR="00AC7652">
        <w:t xml:space="preserve">                                     </w:t>
      </w:r>
      <w:r>
        <w:t xml:space="preserve">                </w:t>
      </w:r>
      <w:r w:rsidR="00C33DF8">
        <w:t xml:space="preserve">  </w:t>
      </w:r>
      <w:r w:rsidR="00560DFE">
        <w:t xml:space="preserve">Obec </w:t>
      </w:r>
      <w:r w:rsidR="008D2223">
        <w:t>Psáry</w:t>
      </w:r>
      <w:r w:rsidR="008D2223">
        <w:tab/>
      </w:r>
      <w:r w:rsidR="00560DFE">
        <w:tab/>
      </w:r>
      <w:r w:rsidR="00560DFE">
        <w:tab/>
      </w:r>
      <w:r w:rsidR="00560DFE">
        <w:tab/>
        <w:t xml:space="preserve"> </w:t>
      </w:r>
      <w:r w:rsidR="00AC7652">
        <w:t xml:space="preserve">     </w:t>
      </w:r>
      <w:r>
        <w:t xml:space="preserve">  </w:t>
      </w:r>
      <w:r w:rsidR="00560DFE">
        <w:t>S</w:t>
      </w:r>
      <w:r w:rsidR="00AC7652">
        <w:t xml:space="preserve">TAVING </w:t>
      </w:r>
      <w:r w:rsidR="00560DFE">
        <w:t>Olomouc, s.r.o.</w:t>
      </w:r>
    </w:p>
    <w:p w:rsidR="00560DFE" w:rsidRDefault="00560DFE" w:rsidP="00CC0349">
      <w:pPr>
        <w:jc w:val="both"/>
      </w:pPr>
      <w:r>
        <w:tab/>
      </w:r>
      <w:r w:rsidR="00AC7652">
        <w:t xml:space="preserve"> </w:t>
      </w:r>
      <w:r w:rsidR="00C33DF8">
        <w:tab/>
      </w:r>
      <w:r w:rsidR="00AC7652">
        <w:t xml:space="preserve"> </w:t>
      </w:r>
      <w:r w:rsidR="00177FC5">
        <w:t xml:space="preserve">Bc. </w:t>
      </w:r>
      <w:r w:rsidR="008D2223">
        <w:t>Milan Vácha</w:t>
      </w:r>
      <w:r>
        <w:t>, starosta</w:t>
      </w:r>
      <w:r>
        <w:tab/>
      </w:r>
      <w:r>
        <w:tab/>
      </w:r>
      <w:r w:rsidR="00AC7652">
        <w:t xml:space="preserve">      </w:t>
      </w:r>
      <w:r>
        <w:t xml:space="preserve"> </w:t>
      </w:r>
      <w:r w:rsidR="008D2223">
        <w:t xml:space="preserve">              </w:t>
      </w:r>
      <w:r w:rsidR="00373C8E">
        <w:t xml:space="preserve"> </w:t>
      </w:r>
      <w:r w:rsidR="008D2223">
        <w:t>Milan Zetocha, je</w:t>
      </w:r>
      <w:r>
        <w:t>dnatel</w:t>
      </w:r>
      <w:r>
        <w:tab/>
      </w:r>
    </w:p>
    <w:p w:rsidR="00560DFE" w:rsidRDefault="00560DFE" w:rsidP="00CC0349">
      <w:pPr>
        <w:jc w:val="both"/>
      </w:pPr>
      <w:r>
        <w:tab/>
        <w:t xml:space="preserve">      </w:t>
      </w:r>
      <w:r w:rsidR="00373C8E">
        <w:t xml:space="preserve">       </w:t>
      </w:r>
      <w:r>
        <w:t xml:space="preserve"> </w:t>
      </w:r>
      <w:r w:rsidR="00C33DF8">
        <w:tab/>
      </w:r>
      <w:r>
        <w:t>kupující</w:t>
      </w:r>
      <w:r>
        <w:tab/>
      </w:r>
      <w:r>
        <w:tab/>
      </w:r>
      <w:r>
        <w:tab/>
      </w:r>
      <w:r>
        <w:tab/>
        <w:t xml:space="preserve">                </w:t>
      </w:r>
      <w:r w:rsidR="00373C8E">
        <w:t xml:space="preserve">  </w:t>
      </w:r>
      <w:r>
        <w:t xml:space="preserve"> prodávající</w:t>
      </w:r>
      <w:r>
        <w:tab/>
      </w:r>
      <w:r>
        <w:tab/>
      </w:r>
      <w:r>
        <w:tab/>
      </w:r>
    </w:p>
    <w:sectPr w:rsidR="00560DFE" w:rsidSect="00373C8E">
      <w:pgSz w:w="11906" w:h="16838"/>
      <w:pgMar w:top="1418" w:right="1304" w:bottom="1418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E2E37"/>
    <w:multiLevelType w:val="multilevel"/>
    <w:tmpl w:val="D4E27F4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B292CA4"/>
    <w:multiLevelType w:val="hybridMultilevel"/>
    <w:tmpl w:val="8DC06A98"/>
    <w:lvl w:ilvl="0" w:tplc="A7469258">
      <w:start w:val="1"/>
      <w:numFmt w:val="decimal"/>
      <w:lvlText w:val="%1."/>
      <w:lvlJc w:val="left"/>
      <w:pPr>
        <w:tabs>
          <w:tab w:val="num" w:pos="428"/>
        </w:tabs>
        <w:ind w:left="42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C327133"/>
    <w:multiLevelType w:val="hybridMultilevel"/>
    <w:tmpl w:val="92AC77AA"/>
    <w:lvl w:ilvl="0" w:tplc="040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CDA7D2D"/>
    <w:multiLevelType w:val="hybridMultilevel"/>
    <w:tmpl w:val="D08E69A4"/>
    <w:lvl w:ilvl="0" w:tplc="040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4" w15:restartNumberingAfterBreak="0">
    <w:nsid w:val="2060311E"/>
    <w:multiLevelType w:val="hybridMultilevel"/>
    <w:tmpl w:val="ED6CDB70"/>
    <w:lvl w:ilvl="0" w:tplc="A7469258">
      <w:start w:val="1"/>
      <w:numFmt w:val="decimal"/>
      <w:lvlText w:val="%1."/>
      <w:lvlJc w:val="left"/>
      <w:pPr>
        <w:tabs>
          <w:tab w:val="num" w:pos="428"/>
        </w:tabs>
        <w:ind w:left="42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3C24B27"/>
    <w:multiLevelType w:val="hybridMultilevel"/>
    <w:tmpl w:val="4642C680"/>
    <w:lvl w:ilvl="0" w:tplc="040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3A273562"/>
    <w:multiLevelType w:val="hybridMultilevel"/>
    <w:tmpl w:val="5922CA1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C694E30"/>
    <w:multiLevelType w:val="hybridMultilevel"/>
    <w:tmpl w:val="77743A58"/>
    <w:lvl w:ilvl="0" w:tplc="040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482A271D"/>
    <w:multiLevelType w:val="hybridMultilevel"/>
    <w:tmpl w:val="5F281754"/>
    <w:lvl w:ilvl="0" w:tplc="040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4836136E"/>
    <w:multiLevelType w:val="hybridMultilevel"/>
    <w:tmpl w:val="BBE617DE"/>
    <w:lvl w:ilvl="0" w:tplc="A7469258">
      <w:start w:val="1"/>
      <w:numFmt w:val="decimal"/>
      <w:lvlText w:val="%1."/>
      <w:lvlJc w:val="left"/>
      <w:pPr>
        <w:tabs>
          <w:tab w:val="num" w:pos="428"/>
        </w:tabs>
        <w:ind w:left="42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8"/>
        </w:tabs>
        <w:ind w:left="114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68"/>
        </w:tabs>
        <w:ind w:left="186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88"/>
        </w:tabs>
        <w:ind w:left="258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308"/>
        </w:tabs>
        <w:ind w:left="330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028"/>
        </w:tabs>
        <w:ind w:left="402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748"/>
        </w:tabs>
        <w:ind w:left="474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68"/>
        </w:tabs>
        <w:ind w:left="546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88"/>
        </w:tabs>
        <w:ind w:left="6188" w:hanging="180"/>
      </w:pPr>
      <w:rPr>
        <w:rFonts w:cs="Times New Roman"/>
      </w:rPr>
    </w:lvl>
  </w:abstractNum>
  <w:abstractNum w:abstractNumId="10" w15:restartNumberingAfterBreak="0">
    <w:nsid w:val="483D00D6"/>
    <w:multiLevelType w:val="multilevel"/>
    <w:tmpl w:val="D08E69A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1" w15:restartNumberingAfterBreak="0">
    <w:nsid w:val="529148DF"/>
    <w:multiLevelType w:val="hybridMultilevel"/>
    <w:tmpl w:val="6342386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C6734CD"/>
    <w:multiLevelType w:val="hybridMultilevel"/>
    <w:tmpl w:val="1E08A364"/>
    <w:lvl w:ilvl="0" w:tplc="040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6EE76824"/>
    <w:multiLevelType w:val="hybridMultilevel"/>
    <w:tmpl w:val="586CBE00"/>
    <w:lvl w:ilvl="0" w:tplc="A7469258">
      <w:start w:val="1"/>
      <w:numFmt w:val="decimal"/>
      <w:lvlText w:val="%1."/>
      <w:lvlJc w:val="left"/>
      <w:pPr>
        <w:tabs>
          <w:tab w:val="num" w:pos="496"/>
        </w:tabs>
        <w:ind w:left="49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8"/>
        </w:tabs>
        <w:ind w:left="150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28"/>
        </w:tabs>
        <w:ind w:left="222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8"/>
        </w:tabs>
        <w:ind w:left="294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68"/>
        </w:tabs>
        <w:ind w:left="366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88"/>
        </w:tabs>
        <w:ind w:left="438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108"/>
        </w:tabs>
        <w:ind w:left="510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828"/>
        </w:tabs>
        <w:ind w:left="582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548"/>
        </w:tabs>
        <w:ind w:left="6548" w:hanging="180"/>
      </w:pPr>
      <w:rPr>
        <w:rFonts w:cs="Times New Roman"/>
      </w:rPr>
    </w:lvl>
  </w:abstractNum>
  <w:abstractNum w:abstractNumId="14" w15:restartNumberingAfterBreak="0">
    <w:nsid w:val="710E76BE"/>
    <w:multiLevelType w:val="hybridMultilevel"/>
    <w:tmpl w:val="7A801AD4"/>
    <w:lvl w:ilvl="0" w:tplc="68A62A7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  <w:b w:val="0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7BB939E9"/>
    <w:multiLevelType w:val="hybridMultilevel"/>
    <w:tmpl w:val="B24477D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4"/>
  </w:num>
  <w:num w:numId="9">
    <w:abstractNumId w:val="3"/>
  </w:num>
  <w:num w:numId="10">
    <w:abstractNumId w:val="0"/>
  </w:num>
  <w:num w:numId="11">
    <w:abstractNumId w:val="10"/>
  </w:num>
  <w:num w:numId="12">
    <w:abstractNumId w:val="11"/>
  </w:num>
  <w:num w:numId="13">
    <w:abstractNumId w:val="6"/>
  </w:num>
  <w:num w:numId="14">
    <w:abstractNumId w:val="9"/>
  </w:num>
  <w:num w:numId="15">
    <w:abstractNumId w:val="4"/>
  </w:num>
  <w:num w:numId="16">
    <w:abstractNumId w:val="15"/>
  </w:num>
  <w:num w:numId="17">
    <w:abstractNumId w:val="1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349"/>
    <w:rsid w:val="00005E8C"/>
    <w:rsid w:val="00031A63"/>
    <w:rsid w:val="0003434B"/>
    <w:rsid w:val="00070F39"/>
    <w:rsid w:val="000A29D8"/>
    <w:rsid w:val="000B6096"/>
    <w:rsid w:val="000C2992"/>
    <w:rsid w:val="000E1D96"/>
    <w:rsid w:val="000F0F97"/>
    <w:rsid w:val="000F3054"/>
    <w:rsid w:val="001077EB"/>
    <w:rsid w:val="001322AB"/>
    <w:rsid w:val="00175434"/>
    <w:rsid w:val="00177FC5"/>
    <w:rsid w:val="001947C2"/>
    <w:rsid w:val="001C6510"/>
    <w:rsid w:val="001D2311"/>
    <w:rsid w:val="001D2BBA"/>
    <w:rsid w:val="001F0C4D"/>
    <w:rsid w:val="00213891"/>
    <w:rsid w:val="00255AA0"/>
    <w:rsid w:val="00295A4C"/>
    <w:rsid w:val="002E07F0"/>
    <w:rsid w:val="002F6593"/>
    <w:rsid w:val="003616B0"/>
    <w:rsid w:val="00372ABB"/>
    <w:rsid w:val="00373C8E"/>
    <w:rsid w:val="00383AED"/>
    <w:rsid w:val="0039534B"/>
    <w:rsid w:val="003A2AFE"/>
    <w:rsid w:val="003A6C2C"/>
    <w:rsid w:val="003B078C"/>
    <w:rsid w:val="00400FCE"/>
    <w:rsid w:val="00433A85"/>
    <w:rsid w:val="00444C9D"/>
    <w:rsid w:val="004563EC"/>
    <w:rsid w:val="00461C86"/>
    <w:rsid w:val="00483835"/>
    <w:rsid w:val="00493244"/>
    <w:rsid w:val="004F494C"/>
    <w:rsid w:val="0051742B"/>
    <w:rsid w:val="00524398"/>
    <w:rsid w:val="00552B50"/>
    <w:rsid w:val="00560DFE"/>
    <w:rsid w:val="00561C8E"/>
    <w:rsid w:val="00593819"/>
    <w:rsid w:val="005B0B86"/>
    <w:rsid w:val="005C2B62"/>
    <w:rsid w:val="005D5367"/>
    <w:rsid w:val="005E28FB"/>
    <w:rsid w:val="005E7F69"/>
    <w:rsid w:val="005F0837"/>
    <w:rsid w:val="0060265F"/>
    <w:rsid w:val="00603DF2"/>
    <w:rsid w:val="00636D30"/>
    <w:rsid w:val="00687C12"/>
    <w:rsid w:val="006972B7"/>
    <w:rsid w:val="006A5B8B"/>
    <w:rsid w:val="006C574D"/>
    <w:rsid w:val="006E28EB"/>
    <w:rsid w:val="006F3627"/>
    <w:rsid w:val="00703BE2"/>
    <w:rsid w:val="00714776"/>
    <w:rsid w:val="00722E6C"/>
    <w:rsid w:val="007465FD"/>
    <w:rsid w:val="00747360"/>
    <w:rsid w:val="00775BC1"/>
    <w:rsid w:val="007965E7"/>
    <w:rsid w:val="007E7639"/>
    <w:rsid w:val="007F2C82"/>
    <w:rsid w:val="008938EB"/>
    <w:rsid w:val="00896144"/>
    <w:rsid w:val="00896F69"/>
    <w:rsid w:val="008A0FD3"/>
    <w:rsid w:val="008C3EF8"/>
    <w:rsid w:val="008D09FA"/>
    <w:rsid w:val="008D1C15"/>
    <w:rsid w:val="008D2223"/>
    <w:rsid w:val="008E4C8E"/>
    <w:rsid w:val="008E6D1C"/>
    <w:rsid w:val="00910000"/>
    <w:rsid w:val="00962DC7"/>
    <w:rsid w:val="00974BA9"/>
    <w:rsid w:val="009950BE"/>
    <w:rsid w:val="009C183B"/>
    <w:rsid w:val="009E6149"/>
    <w:rsid w:val="00A47B68"/>
    <w:rsid w:val="00A623FD"/>
    <w:rsid w:val="00A767FE"/>
    <w:rsid w:val="00AB7DB3"/>
    <w:rsid w:val="00AC7652"/>
    <w:rsid w:val="00AE6897"/>
    <w:rsid w:val="00B11D9B"/>
    <w:rsid w:val="00B21ED8"/>
    <w:rsid w:val="00B406E5"/>
    <w:rsid w:val="00B85726"/>
    <w:rsid w:val="00B959D0"/>
    <w:rsid w:val="00BA21D9"/>
    <w:rsid w:val="00BE1BB8"/>
    <w:rsid w:val="00C202A3"/>
    <w:rsid w:val="00C25476"/>
    <w:rsid w:val="00C33DF8"/>
    <w:rsid w:val="00C672B5"/>
    <w:rsid w:val="00C953F4"/>
    <w:rsid w:val="00C95C55"/>
    <w:rsid w:val="00CB2A3A"/>
    <w:rsid w:val="00CB484F"/>
    <w:rsid w:val="00CC0349"/>
    <w:rsid w:val="00CD6A33"/>
    <w:rsid w:val="00D2520B"/>
    <w:rsid w:val="00D31F0F"/>
    <w:rsid w:val="00D7400E"/>
    <w:rsid w:val="00D9049D"/>
    <w:rsid w:val="00D95001"/>
    <w:rsid w:val="00E07EFC"/>
    <w:rsid w:val="00E210BC"/>
    <w:rsid w:val="00E3782C"/>
    <w:rsid w:val="00E97219"/>
    <w:rsid w:val="00EB0BE5"/>
    <w:rsid w:val="00ED670B"/>
    <w:rsid w:val="00F306A0"/>
    <w:rsid w:val="00F348F3"/>
    <w:rsid w:val="00F3530F"/>
    <w:rsid w:val="00F7769D"/>
    <w:rsid w:val="00F92AD7"/>
    <w:rsid w:val="00FD7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F844AF8D-D721-495A-A0C2-FA8E795F5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C0349"/>
    <w:rPr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CC0349"/>
    <w:pPr>
      <w:keepNext/>
      <w:overflowPunct w:val="0"/>
      <w:autoSpaceDE w:val="0"/>
      <w:autoSpaceDN w:val="0"/>
      <w:adjustRightInd w:val="0"/>
      <w:spacing w:before="240" w:after="60"/>
      <w:outlineLvl w:val="3"/>
    </w:pPr>
    <w:rPr>
      <w:b/>
      <w:bCs/>
      <w:sz w:val="28"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433A85"/>
    <w:rPr>
      <w:rFonts w:ascii="Calibri" w:hAnsi="Calibri" w:cs="Times New Roman"/>
      <w:b/>
      <w:bCs/>
      <w:sz w:val="28"/>
      <w:szCs w:val="28"/>
    </w:rPr>
  </w:style>
  <w:style w:type="character" w:styleId="Hypertextovodkaz">
    <w:name w:val="Hyperlink"/>
    <w:basedOn w:val="Standardnpsmoodstavce"/>
    <w:uiPriority w:val="99"/>
    <w:rsid w:val="00CC0349"/>
    <w:rPr>
      <w:rFonts w:cs="Times New Roman"/>
      <w:color w:val="0000FF"/>
      <w:u w:val="single"/>
    </w:rPr>
  </w:style>
  <w:style w:type="paragraph" w:styleId="Zkladntext">
    <w:name w:val="Body Text"/>
    <w:basedOn w:val="Normln"/>
    <w:link w:val="ZkladntextChar"/>
    <w:uiPriority w:val="99"/>
    <w:rsid w:val="00CC0349"/>
    <w:pPr>
      <w:widowControl w:val="0"/>
      <w:overflowPunct w:val="0"/>
      <w:autoSpaceDE w:val="0"/>
      <w:autoSpaceDN w:val="0"/>
      <w:adjustRightInd w:val="0"/>
      <w:jc w:val="both"/>
    </w:pPr>
    <w:rPr>
      <w:sz w:val="28"/>
      <w:szCs w:val="20"/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433A85"/>
    <w:rPr>
      <w:rFonts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E07EF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433A85"/>
    <w:rPr>
      <w:rFonts w:cs="Times New Roman"/>
      <w:sz w:val="2"/>
    </w:rPr>
  </w:style>
  <w:style w:type="paragraph" w:customStyle="1" w:styleId="Odstavecseseznamem1">
    <w:name w:val="Odstavec se seznamem1"/>
    <w:basedOn w:val="Normln"/>
    <w:uiPriority w:val="99"/>
    <w:rsid w:val="008938EB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Odkaznakoment">
    <w:name w:val="annotation reference"/>
    <w:basedOn w:val="Standardnpsmoodstavce"/>
    <w:uiPriority w:val="99"/>
    <w:rsid w:val="00B406E5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B406E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B406E5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B406E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B406E5"/>
    <w:rPr>
      <w:rFonts w:cs="Times New Roman"/>
      <w:b/>
    </w:rPr>
  </w:style>
  <w:style w:type="paragraph" w:styleId="Rozloendokumentu">
    <w:name w:val="Document Map"/>
    <w:basedOn w:val="Normln"/>
    <w:link w:val="RozloendokumentuChar"/>
    <w:uiPriority w:val="99"/>
    <w:semiHidden/>
    <w:rsid w:val="006C574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433A85"/>
    <w:rPr>
      <w:rFonts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732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935</Words>
  <Characters>5639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Níže uvedeného dne, měsíce a roku uzavřely</vt:lpstr>
    </vt:vector>
  </TitlesOfParts>
  <Company>xxx</Company>
  <LinksUpToDate>false</LinksUpToDate>
  <CharactersWithSpaces>6561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Níže uvedeného dne, měsíce a roku uzavřely</dc:title>
  <dc:subject/>
  <dc:creator>JUDr. Miroslav Novotný, advokát</dc:creator>
  <cp:keywords/>
  <dc:description/>
  <cp:lastModifiedBy>Nikola Alferyová</cp:lastModifiedBy>
  <cp:revision>2</cp:revision>
  <cp:lastPrinted>2018-01-11T14:10:00Z</cp:lastPrinted>
  <dcterms:created xsi:type="dcterms:W3CDTF">2019-12-03T08:01:00Z</dcterms:created>
  <dcterms:modified xsi:type="dcterms:W3CDTF">2019-12-03T08:01:00Z</dcterms:modified>
</cp:coreProperties>
</file>